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left"/>
        <w:rPr>
          <w:rFonts w:ascii="黑体" w:hAnsi="黑体" w:eastAsia="黑体" w:cs="宋体"/>
          <w:color w:val="333333"/>
          <w:sz w:val="32"/>
          <w:szCs w:val="32"/>
          <w:lang w:bidi="ar"/>
        </w:rPr>
      </w:pPr>
      <w:r>
        <w:rPr>
          <w:rFonts w:hint="eastAsia" w:ascii="黑体" w:hAnsi="黑体" w:eastAsia="黑体" w:cs="宋体"/>
          <w:color w:val="333333"/>
          <w:sz w:val="32"/>
          <w:szCs w:val="32"/>
          <w:lang w:bidi="ar"/>
        </w:rPr>
        <w:t>附件4：</w:t>
      </w: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部门单位整体支出绩效</w:t>
      </w: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int="eastAsia" w:ascii="仿宋_GB2312" w:hAnsi="宋体" w:eastAsia="仿宋_GB2312"/>
          <w:b/>
          <w:sz w:val="32"/>
          <w:szCs w:val="32"/>
        </w:rPr>
        <w:t>2021</w:t>
      </w:r>
      <w:r>
        <w:rPr>
          <w:rFonts w:hint="eastAsia" w:hAnsi="宋体" w:eastAsia="仿宋_GB2312" w:cs="宋体"/>
          <w:kern w:val="0"/>
          <w:sz w:val="36"/>
          <w:szCs w:val="36"/>
        </w:rPr>
        <w:t>年度）</w:t>
      </w:r>
    </w:p>
    <w:p>
      <w:pPr>
        <w:spacing w:line="700" w:lineRule="exact"/>
        <w:jc w:val="left"/>
        <w:rPr>
          <w:rFonts w:hint="eastAsia" w:hAnsi="宋体" w:eastAsia="仿宋_GB2312" w:cs="宋体"/>
          <w:kern w:val="0"/>
          <w:sz w:val="36"/>
          <w:szCs w:val="36"/>
        </w:rPr>
      </w:pPr>
    </w:p>
    <w:p>
      <w:pPr>
        <w:spacing w:line="700" w:lineRule="exact"/>
        <w:jc w:val="left"/>
        <w:rPr>
          <w:rFonts w:hint="eastAsia" w:hAnsi="宋体" w:eastAsia="仿宋_GB2312" w:cs="宋体"/>
          <w:kern w:val="0"/>
          <w:sz w:val="36"/>
          <w:szCs w:val="36"/>
        </w:rPr>
      </w:pPr>
    </w:p>
    <w:p>
      <w:pPr>
        <w:spacing w:line="700" w:lineRule="exact"/>
        <w:jc w:val="left"/>
        <w:rPr>
          <w:rFonts w:hint="eastAsia" w:hAnsi="宋体" w:eastAsia="仿宋_GB2312" w:cs="宋体"/>
          <w:kern w:val="0"/>
          <w:sz w:val="36"/>
          <w:szCs w:val="36"/>
          <w:lang w:eastAsia="zh-CN"/>
        </w:rPr>
      </w:pPr>
    </w:p>
    <w:p>
      <w:pPr>
        <w:spacing w:line="700" w:lineRule="exact"/>
        <w:jc w:val="left"/>
        <w:rPr>
          <w:rFonts w:hint="eastAsia" w:hAnsi="宋体" w:eastAsia="仿宋_GB2312" w:cs="宋体"/>
          <w:kern w:val="0"/>
          <w:sz w:val="36"/>
          <w:szCs w:val="36"/>
          <w:lang w:eastAsia="zh-CN"/>
        </w:rPr>
      </w:pPr>
    </w:p>
    <w:p>
      <w:pPr>
        <w:spacing w:line="700" w:lineRule="exact"/>
        <w:jc w:val="left"/>
        <w:rPr>
          <w:rFonts w:hint="eastAsia" w:hAnsi="宋体" w:eastAsia="仿宋_GB2312" w:cs="宋体"/>
          <w:kern w:val="0"/>
          <w:sz w:val="36"/>
          <w:szCs w:val="36"/>
          <w:lang w:eastAsia="zh-CN"/>
        </w:rPr>
      </w:pPr>
    </w:p>
    <w:p>
      <w:pPr>
        <w:spacing w:line="700" w:lineRule="exact"/>
        <w:jc w:val="left"/>
        <w:rPr>
          <w:rFonts w:hint="eastAsia" w:hAnsi="宋体" w:eastAsia="仿宋_GB2312" w:cs="宋体"/>
          <w:kern w:val="0"/>
          <w:sz w:val="36"/>
          <w:szCs w:val="36"/>
          <w:lang w:eastAsia="zh-CN"/>
        </w:rPr>
      </w:pPr>
    </w:p>
    <w:p>
      <w:pPr>
        <w:spacing w:line="540" w:lineRule="exact"/>
        <w:ind w:firstLine="567"/>
        <w:rPr>
          <w:rFonts w:hAnsi="宋体" w:eastAsia="仿宋_GB2312" w:cs="宋体"/>
          <w:b w:val="0"/>
          <w:bCs w:val="0"/>
          <w:kern w:val="0"/>
          <w:sz w:val="36"/>
          <w:szCs w:val="36"/>
        </w:rPr>
      </w:pPr>
      <w:r>
        <w:rPr>
          <w:rFonts w:hint="eastAsia" w:hAnsi="宋体" w:eastAsia="仿宋_GB2312" w:cs="宋体"/>
          <w:kern w:val="0"/>
          <w:sz w:val="36"/>
          <w:szCs w:val="36"/>
        </w:rPr>
        <w:t>部门单位名称（公章）</w:t>
      </w:r>
      <w:r>
        <w:rPr>
          <w:rFonts w:hint="eastAsia" w:ascii="仿宋" w:hAnsi="仿宋" w:eastAsia="仿宋" w:cs="仿宋"/>
          <w:kern w:val="0"/>
          <w:sz w:val="44"/>
          <w:szCs w:val="44"/>
        </w:rPr>
        <w:t>：</w:t>
      </w:r>
      <w:r>
        <w:rPr>
          <w:rStyle w:val="6"/>
          <w:rFonts w:hint="eastAsia" w:ascii="仿宋" w:hAnsi="仿宋" w:eastAsia="仿宋" w:cs="仿宋"/>
          <w:b w:val="0"/>
          <w:bCs w:val="0"/>
          <w:spacing w:val="-4"/>
          <w:sz w:val="36"/>
          <w:szCs w:val="36"/>
        </w:rPr>
        <w:t>克州市场监督管理局</w:t>
      </w:r>
    </w:p>
    <w:p>
      <w:pPr>
        <w:spacing w:line="540" w:lineRule="exact"/>
        <w:ind w:left="273" w:firstLine="567"/>
        <w:jc w:val="both"/>
        <w:rPr>
          <w:rStyle w:val="6"/>
          <w:rFonts w:hint="eastAsia" w:ascii="仿宋" w:hAnsi="仿宋" w:eastAsia="仿宋" w:cs="仿宋"/>
          <w:b w:val="0"/>
          <w:bCs w:val="0"/>
          <w:spacing w:val="-4"/>
          <w:sz w:val="44"/>
          <w:szCs w:val="44"/>
        </w:rPr>
      </w:pPr>
      <w:r>
        <w:rPr>
          <w:rFonts w:hint="eastAsia" w:hAnsi="宋体" w:eastAsia="仿宋_GB2312" w:cs="宋体"/>
          <w:kern w:val="0"/>
          <w:sz w:val="36"/>
          <w:szCs w:val="36"/>
        </w:rPr>
        <w:t>填报时间：</w:t>
      </w:r>
      <w:r>
        <w:rPr>
          <w:rStyle w:val="6"/>
          <w:rFonts w:hint="eastAsia" w:ascii="仿宋" w:hAnsi="仿宋" w:eastAsia="仿宋" w:cs="仿宋"/>
          <w:b w:val="0"/>
          <w:bCs w:val="0"/>
          <w:spacing w:val="-4"/>
          <w:sz w:val="36"/>
          <w:szCs w:val="36"/>
        </w:rPr>
        <w:t>2022年03月04日</w:t>
      </w:r>
    </w:p>
    <w:p>
      <w:pPr>
        <w:rPr>
          <w:rStyle w:val="6"/>
          <w:rFonts w:hint="eastAsia" w:ascii="仿宋" w:hAnsi="仿宋" w:eastAsia="仿宋" w:cs="仿宋"/>
          <w:b w:val="0"/>
          <w:bCs w:val="0"/>
          <w:spacing w:val="-4"/>
          <w:sz w:val="44"/>
          <w:szCs w:val="44"/>
        </w:rPr>
      </w:pPr>
      <w:r>
        <w:rPr>
          <w:rStyle w:val="6"/>
          <w:rFonts w:hint="eastAsia" w:ascii="仿宋" w:hAnsi="仿宋" w:eastAsia="仿宋" w:cs="仿宋"/>
          <w:b w:val="0"/>
          <w:bCs w:val="0"/>
          <w:spacing w:val="-4"/>
          <w:sz w:val="44"/>
          <w:szCs w:val="44"/>
        </w:rPr>
        <w:br w:type="page"/>
      </w:r>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基本概况</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（一）部门单位基本情况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1.部门主要职能</w:t>
      </w:r>
      <w:r>
        <w:rPr>
          <w:rFonts w:hint="eastAsia" w:ascii="仿宋_GB2312" w:hAnsi="宋体" w:eastAsia="仿宋_GB2312"/>
          <w:b w:val="0"/>
          <w:bCs/>
          <w:sz w:val="32"/>
          <w:szCs w:val="32"/>
        </w:rPr>
        <w:cr/>
      </w:r>
      <w:r>
        <w:rPr>
          <w:rFonts w:hint="eastAsia" w:ascii="仿宋_GB2312" w:hAnsi="宋体" w:eastAsia="仿宋_GB2312"/>
          <w:b w:val="0"/>
          <w:bCs/>
          <w:sz w:val="32"/>
          <w:szCs w:val="32"/>
        </w:rPr>
        <w:t>　　负责市场综合监督管理和知识产权管理。贯彻执行国家市场监督管理和知识产权管理有关法律和规章，参与起草市场监管和知识产权管理的地方性法规、政策、标准，组织实施质量强州战略、食品安全战略、标准化战略和知识产权战略。拟订并组织实施有关规划，规范和维护市场秩序，营造诚实守信、公平竞争的市场环境。</w:t>
      </w:r>
      <w:r>
        <w:rPr>
          <w:rFonts w:hint="eastAsia" w:ascii="仿宋_GB2312" w:hAnsi="宋体" w:eastAsia="仿宋_GB2312"/>
          <w:b w:val="0"/>
          <w:bCs/>
          <w:sz w:val="32"/>
          <w:szCs w:val="32"/>
        </w:rPr>
        <w:cr/>
      </w:r>
      <w:r>
        <w:rPr>
          <w:rFonts w:hint="eastAsia" w:ascii="仿宋_GB2312" w:hAnsi="宋体" w:eastAsia="仿宋_GB2312"/>
          <w:b w:val="0"/>
          <w:bCs/>
          <w:sz w:val="32"/>
          <w:szCs w:val="32"/>
        </w:rPr>
        <w:t>　　负责组织指导市场监管和知识产权综合执法工作。指导各县（市）市场监管综合执法队伍整合和建设，推动实行统一的市场监管。组织查处重大违法案件。规范市场监管和知识产权行政执法行为。</w:t>
      </w:r>
      <w:r>
        <w:rPr>
          <w:rFonts w:hint="eastAsia" w:ascii="仿宋_GB2312" w:hAnsi="宋体" w:eastAsia="仿宋_GB2312"/>
          <w:b w:val="0"/>
          <w:bCs/>
          <w:sz w:val="32"/>
          <w:szCs w:val="32"/>
        </w:rPr>
        <w:cr/>
      </w:r>
      <w:r>
        <w:rPr>
          <w:rFonts w:hint="eastAsia" w:ascii="仿宋_GB2312" w:hAnsi="宋体" w:eastAsia="仿宋_GB2312"/>
          <w:b w:val="0"/>
          <w:bCs/>
          <w:sz w:val="32"/>
          <w:szCs w:val="32"/>
        </w:rPr>
        <w:t>　　负责反垄断统一执法。统筹推进竞争政策实施，指导实施公平竞争审查制度。依据授权负责垄断协议、滥用市场支配地位和滥用行政权力排除、限制竞争等反垄断执法工作。依法对经营者集中行为进行反垄断审查，指导企业的反垄断应诉工作。</w:t>
      </w:r>
      <w:r>
        <w:rPr>
          <w:rFonts w:hint="eastAsia" w:ascii="仿宋_GB2312" w:hAnsi="宋体" w:eastAsia="仿宋_GB2312"/>
          <w:b w:val="0"/>
          <w:bCs/>
          <w:sz w:val="32"/>
          <w:szCs w:val="32"/>
        </w:rPr>
        <w:cr/>
      </w:r>
      <w:r>
        <w:rPr>
          <w:rFonts w:hint="eastAsia" w:ascii="仿宋_GB2312" w:hAnsi="宋体" w:eastAsia="仿宋_GB2312"/>
          <w:b w:val="0"/>
          <w:bCs/>
          <w:sz w:val="32"/>
          <w:szCs w:val="32"/>
        </w:rPr>
        <w:t>　　负责监督管理市场秩序。依法监督管理市场交易，网络商品交易及有关服务的行为。组织指导查处价格收费违法违规、不正当竞争、违法直销、传销、侵犯商标专利知识产权和制售假冒伪劣商品行为。指导广告业发展，监督管理广告活动。指导查处无照生产经营和相关无证生产经营行为。指导自治州消费者协会开展消费维权工作。</w:t>
      </w:r>
      <w:r>
        <w:rPr>
          <w:rFonts w:hint="eastAsia" w:ascii="仿宋_GB2312" w:hAnsi="宋体" w:eastAsia="仿宋_GB2312"/>
          <w:b w:val="0"/>
          <w:bCs/>
          <w:sz w:val="32"/>
          <w:szCs w:val="32"/>
        </w:rPr>
        <w:cr/>
      </w:r>
      <w:r>
        <w:rPr>
          <w:rFonts w:hint="eastAsia" w:ascii="仿宋_GB2312" w:hAnsi="宋体" w:eastAsia="仿宋_GB2312"/>
          <w:b w:val="0"/>
          <w:bCs/>
          <w:sz w:val="32"/>
          <w:szCs w:val="32"/>
        </w:rPr>
        <w:t>　　负责宏观质量管理。拟订并实施质量发展的制度措施。统筹质量基础设施建设与应用，会同有关部门组织实施重大工程设备质量监理制度，组织重大质量事故调查，组织实施缺陷产品召回制度，监督管理产品防伪工作。</w:t>
      </w:r>
      <w:r>
        <w:rPr>
          <w:rFonts w:hint="eastAsia" w:ascii="仿宋_GB2312" w:hAnsi="宋体" w:eastAsia="仿宋_GB2312"/>
          <w:b w:val="0"/>
          <w:bCs/>
          <w:sz w:val="32"/>
          <w:szCs w:val="32"/>
        </w:rPr>
        <w:cr/>
      </w:r>
      <w:r>
        <w:rPr>
          <w:rFonts w:hint="eastAsia" w:ascii="仿宋_GB2312" w:hAnsi="宋体" w:eastAsia="仿宋_GB2312"/>
          <w:b w:val="0"/>
          <w:bCs/>
          <w:sz w:val="32"/>
          <w:szCs w:val="32"/>
        </w:rPr>
        <w:t>　　负责产品质量安全监督管理。管理产品质量监督抽查、风险监控工作。组织实施质量分级制度、质量安全追溯制度。指导工业产品生产许可管理。负责纤维质量监督工作。</w:t>
      </w:r>
      <w:r>
        <w:rPr>
          <w:rFonts w:hint="eastAsia" w:ascii="仿宋_GB2312" w:hAnsi="宋体" w:eastAsia="仿宋_GB2312"/>
          <w:b w:val="0"/>
          <w:bCs/>
          <w:sz w:val="32"/>
          <w:szCs w:val="32"/>
        </w:rPr>
        <w:cr/>
      </w:r>
      <w:r>
        <w:rPr>
          <w:rFonts w:hint="eastAsia" w:ascii="仿宋_GB2312" w:hAnsi="宋体" w:eastAsia="仿宋_GB2312"/>
          <w:b w:val="0"/>
          <w:bCs/>
          <w:sz w:val="32"/>
          <w:szCs w:val="32"/>
        </w:rPr>
        <w:t>　　负责特种设备安全监督管理。综合管理特种设备安全监察、监督工作，监督检查高耗能特种设备节能标准和锅炉环境保护标准的执行情况。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负责食品安全监督管理综合协调。贯彻落实食品安全重大政策。负责食品安全应急体系建设，组织指导重大食品安全事件应急处置和调查处理工作。建立健全食品安全重要信息直报制度。</w:t>
      </w:r>
      <w:r>
        <w:rPr>
          <w:rFonts w:hint="eastAsia" w:ascii="仿宋_GB2312" w:hAnsi="宋体" w:eastAsia="仿宋_GB2312"/>
          <w:b w:val="0"/>
          <w:bCs/>
          <w:sz w:val="32"/>
          <w:szCs w:val="32"/>
        </w:rPr>
        <w:cr/>
      </w:r>
      <w:r>
        <w:rPr>
          <w:rFonts w:hint="eastAsia" w:ascii="仿宋_GB2312" w:hAnsi="宋体" w:eastAsia="仿宋_GB2312"/>
          <w:b w:val="0"/>
          <w:bCs/>
          <w:sz w:val="32"/>
          <w:szCs w:val="32"/>
        </w:rPr>
        <w:t>　　2.部门机构设置及人员构成</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我单位内设机构 18个，分别是办公室、法规科、执法稽查科、登记注册行政许可审批科、信用监督管理科、质量发展安全监督管理科、特种设备安全监察科、标准计量认证认可监督管理科、食品安全协调科、食品流通监督管理科、食品餐饮监督管理科、药品医疗器械生产流通监督管理科、价格监督检查科、反垄断反不正当竞争执法监督检查科（规范直销与打击传销办公室）、知识产权保护科、广告和信息化监督管理科、自治州市场监督管理局喀什经济开发区伊尔克什坦口岸园区分局、自治州市场监督管理局吐尔尕特口岸分局。</w:t>
      </w:r>
      <w:r>
        <w:rPr>
          <w:rFonts w:hint="eastAsia" w:ascii="仿宋_GB2312" w:hAnsi="宋体" w:eastAsia="仿宋_GB2312"/>
          <w:b w:val="0"/>
          <w:bCs/>
          <w:sz w:val="32"/>
          <w:szCs w:val="32"/>
        </w:rPr>
        <w:cr/>
      </w:r>
      <w:r>
        <w:rPr>
          <w:rFonts w:hint="eastAsia" w:ascii="仿宋_GB2312" w:hAnsi="宋体" w:eastAsia="仿宋_GB2312"/>
          <w:b w:val="0"/>
          <w:bCs/>
          <w:sz w:val="32"/>
          <w:szCs w:val="32"/>
        </w:rPr>
        <w:t>　　克州市场监督管理局机关核定编制51名，其中：行政编51人，事业编0人。年初实有人数149人。截止2021年12月底实有人数149人，其中：在职102人； 退休46人；离休1人。</w:t>
      </w:r>
      <w:r>
        <w:rPr>
          <w:rFonts w:hint="eastAsia" w:ascii="仿宋_GB2312" w:hAnsi="宋体" w:eastAsia="仿宋_GB2312"/>
          <w:b w:val="0"/>
          <w:bCs/>
          <w:sz w:val="32"/>
          <w:szCs w:val="32"/>
        </w:rPr>
        <w:cr/>
      </w:r>
      <w:r>
        <w:rPr>
          <w:rFonts w:hint="eastAsia" w:ascii="仿宋_GB2312" w:hAnsi="宋体" w:eastAsia="仿宋_GB2312"/>
          <w:b w:val="0"/>
          <w:bCs/>
          <w:sz w:val="32"/>
          <w:szCs w:val="32"/>
        </w:rPr>
        <w:t>　　3.年度重点工作</w:t>
      </w:r>
      <w:r>
        <w:rPr>
          <w:rFonts w:hint="eastAsia" w:ascii="仿宋_GB2312" w:hAnsi="宋体" w:eastAsia="仿宋_GB2312"/>
          <w:b w:val="0"/>
          <w:bCs/>
          <w:sz w:val="32"/>
          <w:szCs w:val="32"/>
          <w:lang w:eastAsia="zh-CN"/>
        </w:rPr>
        <w:t>计划</w:t>
      </w:r>
      <w:r>
        <w:rPr>
          <w:rFonts w:hint="eastAsia" w:ascii="仿宋_GB2312" w:hAnsi="宋体" w:eastAsia="仿宋_GB2312"/>
          <w:b w:val="0"/>
          <w:bCs/>
          <w:sz w:val="32"/>
          <w:szCs w:val="32"/>
        </w:rPr>
        <w:cr/>
      </w:r>
      <w:r>
        <w:rPr>
          <w:rFonts w:hint="eastAsia" w:ascii="仿宋_GB2312" w:hAnsi="宋体" w:eastAsia="仿宋_GB2312"/>
          <w:b w:val="0"/>
          <w:bCs/>
          <w:sz w:val="32"/>
          <w:szCs w:val="32"/>
        </w:rPr>
        <w:t>　　全年共查处食品药品、价格等各类违法违章案件173件，已结案162起，罚没款287万元。</w:t>
      </w:r>
      <w:r>
        <w:rPr>
          <w:rFonts w:hint="eastAsia" w:ascii="仿宋_GB2312" w:hAnsi="宋体" w:eastAsia="仿宋_GB2312"/>
          <w:b w:val="0"/>
          <w:bCs/>
          <w:sz w:val="32"/>
          <w:szCs w:val="32"/>
        </w:rPr>
        <w:cr/>
      </w:r>
      <w:r>
        <w:rPr>
          <w:rFonts w:hint="eastAsia" w:ascii="仿宋_GB2312" w:hAnsi="宋体" w:eastAsia="仿宋_GB2312"/>
          <w:b w:val="0"/>
          <w:bCs/>
          <w:sz w:val="32"/>
          <w:szCs w:val="32"/>
        </w:rPr>
        <w:t>　　加大特种设备监督检查力度。目前全州特种设备2240台，停用特种设备460台，在用特设设备1780台（其中：电梯917台，锅炉105台，压力容器480台，起重机械215台,场（厂）内专用机动车辆63台），特种设备检验率为99.05%，累计检验特种设备1425台件，检验率达到99.8%。全年排查压力容器57台件，发现隐患32条，已整改32条，查处特种设备案件3件，罚款12万元。检查特种设备使用单位142家，特种设备918台件，排查隐患668条，目前已整改663条。</w:t>
      </w:r>
      <w:r>
        <w:rPr>
          <w:rFonts w:hint="eastAsia" w:ascii="仿宋_GB2312" w:hAnsi="宋体" w:eastAsia="仿宋_GB2312"/>
          <w:b w:val="0"/>
          <w:bCs/>
          <w:sz w:val="32"/>
          <w:szCs w:val="32"/>
        </w:rPr>
        <w:cr/>
      </w:r>
      <w:r>
        <w:rPr>
          <w:rFonts w:hint="eastAsia" w:ascii="仿宋_GB2312" w:hAnsi="宋体" w:eastAsia="仿宋_GB2312"/>
          <w:b w:val="0"/>
          <w:bCs/>
          <w:sz w:val="32"/>
          <w:szCs w:val="32"/>
        </w:rPr>
        <w:t xml:space="preserve">　　加大食品安全监管力度。检查食品生产、流通、餐饮2897余户，下发监督意见书324份，下发责令整改通知书93份，收缴过期、变质各类食品1962公斤，货值12870元；查封、没收各种麻辣条和“五毛食品”25公斤、“三无”产品13公斤、假冒可乐109瓶，开展食品经营者约谈会8次，警示教育大会6次。查处食品案件75起，结案67起，罚没款57.58万元；开展《食品安全法》等宣传182场次，现场咨询68人次，举办食品安全知识大讲堂161场次，发放宣传材料17000份，制作展板147块，新闻跟踪报道4次，微信、抖音网络直播达8297条；强化食品安全抽检，2021完成抽检1370批次，不合格21批次，已完成核查处置11批次，切实保障各族群众“舌尖上的安全”。 </w:t>
      </w:r>
      <w:r>
        <w:rPr>
          <w:rFonts w:hint="eastAsia" w:ascii="仿宋_GB2312" w:hAnsi="宋体" w:eastAsia="仿宋_GB2312"/>
          <w:b w:val="0"/>
          <w:bCs/>
          <w:sz w:val="32"/>
          <w:szCs w:val="32"/>
        </w:rPr>
        <w:cr/>
      </w:r>
      <w:r>
        <w:rPr>
          <w:rFonts w:hint="eastAsia" w:ascii="仿宋_GB2312" w:hAnsi="宋体" w:eastAsia="仿宋_GB2312"/>
          <w:b w:val="0"/>
          <w:bCs/>
          <w:sz w:val="32"/>
          <w:szCs w:val="32"/>
        </w:rPr>
        <w:t>　　切实加强药品医疗器械和化妆品的监管。建立健全药品安全党政同责、一岗双责的责任体系，加大执法办案力度，查办药品、医疗器械、化妆品案件31起，同比增长86%，移交公安部门涉嫌无证生产药品的重大案件1起（货值金额57万元）；强化疫苗安全监管。检查疾控中心21家，接种单位63家，限期责令整改6起，确保疫苗安全和新冠病毒检测试剂安全；加强药品监督抽查和不良反应监测。共收到药品不良反应报告725份，其中严重报告50份，占报告总数6.9%，医疗器械不良事件301份，其中二级及以上医疗机报告占报告总数73.75%。同比增加94.23%。化妆品不良反应报告153份，占报告总数9.8%。同比增加163.79%。开展儿童化妆品专项检查。重点对母婴用品专卖店、商超等儿童化妆品经营者的检查，核查产品配方是否符合安全性要求，对12家化妆品店索证索票不全、进口化妆品未贴中文标签等违法行进行立案查处。</w:t>
      </w:r>
      <w:r>
        <w:rPr>
          <w:rFonts w:hint="eastAsia" w:ascii="仿宋_GB2312" w:hAnsi="宋体" w:eastAsia="仿宋_GB2312"/>
          <w:b w:val="0"/>
          <w:bCs/>
          <w:sz w:val="32"/>
          <w:szCs w:val="32"/>
        </w:rPr>
        <w:cr/>
      </w:r>
      <w:r>
        <w:rPr>
          <w:rFonts w:hint="eastAsia" w:ascii="仿宋_GB2312" w:hAnsi="宋体" w:eastAsia="仿宋_GB2312"/>
          <w:b w:val="0"/>
          <w:bCs/>
          <w:sz w:val="32"/>
          <w:szCs w:val="32"/>
        </w:rPr>
        <w:t>　　切实加强工业产品质量监管。一是梳理我州2020年在考核中存在的问题，制定整改方案并认真落实整改；二是实施质量提升行动，推动经济高质量发展，印发《自治州贯彻实施质量强州战略2021年质量提升行动工作方案》；三是强化生产许可证的监管。目前我州获证企业在册8家，正常经营3家。对化肥等产品进行监督抽查，共抽检23批次,正在检测中；四是煤改电工作。今年农村煤改电24081户，涉及23个乡（镇）133个村，96324片室内暖气片。目前共抽检室内暖气片28批次，合格24批次，温控器12批次，合格12批次；电线电缆55批次，合格55批次；配电箱12批次，合格12批次；4批次室内暖气片正在检验之中。</w:t>
      </w:r>
      <w:r>
        <w:rPr>
          <w:rFonts w:hint="eastAsia" w:ascii="仿宋_GB2312" w:hAnsi="宋体" w:eastAsia="仿宋_GB2312"/>
          <w:b w:val="0"/>
          <w:bCs/>
          <w:sz w:val="32"/>
          <w:szCs w:val="32"/>
        </w:rPr>
        <w:cr/>
      </w:r>
      <w:r>
        <w:rPr>
          <w:rFonts w:hint="eastAsia" w:ascii="仿宋_GB2312" w:hAnsi="宋体" w:eastAsia="仿宋_GB2312"/>
          <w:b w:val="0"/>
          <w:bCs/>
          <w:sz w:val="32"/>
          <w:szCs w:val="32"/>
        </w:rPr>
        <w:t>　　（二）决策过程</w:t>
      </w:r>
      <w:r>
        <w:rPr>
          <w:rFonts w:hint="eastAsia" w:ascii="仿宋_GB2312" w:hAnsi="宋体" w:eastAsia="仿宋_GB2312"/>
          <w:b w:val="0"/>
          <w:bCs/>
          <w:sz w:val="32"/>
          <w:szCs w:val="32"/>
        </w:rPr>
        <w:cr/>
      </w:r>
      <w:r>
        <w:rPr>
          <w:rFonts w:hint="eastAsia" w:ascii="仿宋_GB2312" w:hAnsi="宋体" w:eastAsia="仿宋_GB2312"/>
          <w:b w:val="0"/>
          <w:bCs/>
          <w:sz w:val="32"/>
          <w:szCs w:val="32"/>
        </w:rPr>
        <w:t>　　为有效实施本单位内部控制管理工作，加强风险防控机制建设，进一步提高单位内部管理水平，规范各项内部经济活动，依据《中华人民共和国会计法》、《中华人民共和国预算法》、《行政事业单位内部控制规范（试行）》等法律法规和有关规定，本单位制定了《克州市场监督管理局单位内部控制规范》，主要内容包括如下几个方面：</w:t>
      </w:r>
      <w:r>
        <w:rPr>
          <w:rFonts w:hint="eastAsia" w:ascii="仿宋_GB2312" w:hAnsi="宋体" w:eastAsia="仿宋_GB2312"/>
          <w:b w:val="0"/>
          <w:bCs/>
          <w:sz w:val="32"/>
          <w:szCs w:val="32"/>
        </w:rPr>
        <w:cr/>
      </w:r>
      <w:r>
        <w:rPr>
          <w:rFonts w:hint="eastAsia" w:ascii="仿宋_GB2312" w:hAnsi="宋体" w:eastAsia="仿宋_GB2312"/>
          <w:b w:val="0"/>
          <w:bCs/>
          <w:sz w:val="32"/>
          <w:szCs w:val="32"/>
        </w:rPr>
        <w:t>　　1.单位层面</w:t>
      </w:r>
      <w:r>
        <w:rPr>
          <w:rFonts w:hint="eastAsia" w:ascii="仿宋_GB2312" w:hAnsi="宋体" w:eastAsia="仿宋_GB2312"/>
          <w:b w:val="0"/>
          <w:bCs/>
          <w:sz w:val="32"/>
          <w:szCs w:val="32"/>
        </w:rPr>
        <w:cr/>
      </w:r>
      <w:r>
        <w:rPr>
          <w:rFonts w:hint="eastAsia" w:ascii="仿宋_GB2312" w:hAnsi="宋体" w:eastAsia="仿宋_GB2312"/>
          <w:b w:val="0"/>
          <w:bCs/>
          <w:sz w:val="32"/>
          <w:szCs w:val="32"/>
        </w:rPr>
        <w:t>　　单位层面确定了单位内部控制工作组织架构。办公室负责牵头建立内部控制体系，研究制定各项内部控制管理制度，组织协调内部控制日常工作，对所实物资产进行管理。各部门配合内部控制牵头部门对所内相关的经济活动进行流程梳理，提出具体的内部控制措施和手段；认真执行内部控制管理制度，落实相关工作要求。</w:t>
      </w:r>
      <w:r>
        <w:rPr>
          <w:rFonts w:hint="eastAsia" w:ascii="仿宋_GB2312" w:hAnsi="宋体" w:eastAsia="仿宋_GB2312"/>
          <w:b w:val="0"/>
          <w:bCs/>
          <w:sz w:val="32"/>
          <w:szCs w:val="32"/>
        </w:rPr>
        <w:cr/>
      </w:r>
      <w:r>
        <w:rPr>
          <w:rFonts w:hint="eastAsia" w:ascii="仿宋_GB2312" w:hAnsi="宋体" w:eastAsia="仿宋_GB2312"/>
          <w:b w:val="0"/>
          <w:bCs/>
          <w:sz w:val="32"/>
          <w:szCs w:val="32"/>
        </w:rPr>
        <w:t>　　单位内部控制依托的重大事项议事机制，决策、执行和监督相分离机制等工作机制；重大经济活动事项的决策形式是单位领导班子会议。涉及单位重大经济活动事项，必须列入单位班子会议研究、审议和决策。会议决议经党组主要领导审签后在一定范围内发布。重大经济活动事项的决议经审定后由分管领导负责实施，由会议确定的责任部门具体执行。各责任部门按照“谁主管、谁负责”的原则，对决策执行实施责任分解，将责任落实到人。同时，单位层面内部控制机制还包括：内部风险控制机制、岗位控制机制、不相容岗位分离机制、授权审批流程；关键岗位工作人员的管理、培训、评价和轮岗等机制。</w:t>
      </w:r>
      <w:r>
        <w:rPr>
          <w:rFonts w:hint="eastAsia" w:ascii="仿宋_GB2312" w:hAnsi="宋体" w:eastAsia="仿宋_GB2312"/>
          <w:b w:val="0"/>
          <w:bCs/>
          <w:sz w:val="32"/>
          <w:szCs w:val="32"/>
        </w:rPr>
        <w:cr/>
      </w:r>
      <w:r>
        <w:rPr>
          <w:rFonts w:hint="eastAsia" w:ascii="仿宋_GB2312" w:hAnsi="宋体" w:eastAsia="仿宋_GB2312"/>
          <w:b w:val="0"/>
          <w:bCs/>
          <w:sz w:val="32"/>
          <w:szCs w:val="32"/>
        </w:rPr>
        <w:t>　　2.业务层面</w:t>
      </w:r>
      <w:r>
        <w:rPr>
          <w:rFonts w:hint="eastAsia" w:ascii="仿宋_GB2312" w:hAnsi="宋体" w:eastAsia="仿宋_GB2312"/>
          <w:b w:val="0"/>
          <w:bCs/>
          <w:sz w:val="32"/>
          <w:szCs w:val="32"/>
        </w:rPr>
        <w:cr/>
      </w:r>
      <w:r>
        <w:rPr>
          <w:rFonts w:hint="eastAsia" w:ascii="仿宋_GB2312" w:hAnsi="宋体" w:eastAsia="仿宋_GB2312"/>
          <w:b w:val="0"/>
          <w:bCs/>
          <w:sz w:val="32"/>
          <w:szCs w:val="32"/>
        </w:rPr>
        <w:t>　　业务层面建立了部门预算管理办法、财务收支管理办法、固定资产管理办法、办公用品采购保管领用管理办法、采购管理办法、合同业务管理办法、会计业务管理办法等。</w:t>
      </w:r>
      <w:r>
        <w:rPr>
          <w:rFonts w:hint="eastAsia" w:ascii="仿宋_GB2312" w:hAnsi="宋体" w:eastAsia="仿宋_GB2312"/>
          <w:b w:val="0"/>
          <w:bCs/>
          <w:sz w:val="32"/>
          <w:szCs w:val="32"/>
        </w:rPr>
        <w:cr/>
      </w:r>
      <w:r>
        <w:rPr>
          <w:rFonts w:hint="eastAsia" w:ascii="仿宋_GB2312" w:hAnsi="宋体" w:eastAsia="仿宋_GB2312"/>
          <w:b w:val="0"/>
          <w:bCs/>
          <w:sz w:val="32"/>
          <w:szCs w:val="32"/>
        </w:rPr>
        <w:t>　　（1）预算管理：领导班子是预算管理决策机构，负责研究单位年度预算、财政信息公开、预算绩效管理等重大事项。</w:t>
      </w:r>
      <w:r>
        <w:rPr>
          <w:rFonts w:hint="eastAsia" w:ascii="仿宋_GB2312" w:hAnsi="宋体" w:eastAsia="仿宋_GB2312"/>
          <w:b w:val="0"/>
          <w:bCs/>
          <w:sz w:val="32"/>
          <w:szCs w:val="32"/>
        </w:rPr>
        <w:cr/>
      </w:r>
      <w:r>
        <w:rPr>
          <w:rFonts w:hint="eastAsia" w:ascii="仿宋_GB2312" w:hAnsi="宋体" w:eastAsia="仿宋_GB2312"/>
          <w:b w:val="0"/>
          <w:bCs/>
          <w:sz w:val="32"/>
          <w:szCs w:val="32"/>
        </w:rPr>
        <w:t>　　（2）收支管理：领导层是本单位收支业务管理的决策部门，负责审批单位收支业务等事项。涉及“三重一大”事项，根据《克州市场监督管理局集体决策制度》和《克州市场监督管理局项目管理办法》办理。</w:t>
      </w:r>
      <w:r>
        <w:rPr>
          <w:rFonts w:hint="eastAsia" w:ascii="仿宋_GB2312" w:hAnsi="宋体" w:eastAsia="仿宋_GB2312"/>
          <w:b w:val="0"/>
          <w:bCs/>
          <w:sz w:val="32"/>
          <w:szCs w:val="32"/>
        </w:rPr>
        <w:cr/>
      </w:r>
      <w:r>
        <w:rPr>
          <w:rFonts w:hint="eastAsia" w:ascii="仿宋_GB2312" w:hAnsi="宋体" w:eastAsia="仿宋_GB2312"/>
          <w:b w:val="0"/>
          <w:bCs/>
          <w:sz w:val="32"/>
          <w:szCs w:val="32"/>
        </w:rPr>
        <w:t>　　（3）固定资产管理：办公室是本单位固定资产综合管理部门，负责牵头组织协调固定资产使用管理过程中的相关工作；办公室为本单位机关实物资产的牵头管理部门，负责实物资产的监管与指导；办公室负责机关实物资产的申购与分配；各部门为实物资产的具体使用和保管部门，对其完整性负责。</w:t>
      </w:r>
      <w:r>
        <w:rPr>
          <w:rFonts w:hint="eastAsia" w:ascii="仿宋_GB2312" w:hAnsi="宋体" w:eastAsia="仿宋_GB2312"/>
          <w:b w:val="0"/>
          <w:bCs/>
          <w:sz w:val="32"/>
          <w:szCs w:val="32"/>
        </w:rPr>
        <w:cr/>
      </w:r>
      <w:r>
        <w:rPr>
          <w:rFonts w:hint="eastAsia" w:ascii="仿宋_GB2312" w:hAnsi="宋体" w:eastAsia="仿宋_GB2312"/>
          <w:b w:val="0"/>
          <w:bCs/>
          <w:sz w:val="32"/>
          <w:szCs w:val="32"/>
        </w:rPr>
        <w:t>　　（4）办公用品采购保管领用管理：办公用品的采购工作，在分管办公室的领导监督指导下，由办公室主任审核后，办公室负责统一集中采购，其他部门和个人不得擅自采购。所有办公用品的采购、保管、发放，均由办公室确定专人负责。各科室凭《办公用品领用申请单》提出办公用品领用申请，申请单需由各部门负责人审批。办公室仓库管理员根据领用申请单进行办公用品出库发放，并由仓库管理员和领用人分别签字确认。单位机关办公用品采购主要采取政府采购和一般零星采购两种形式。凡符合政府采购要求的，遵照《克州市场监督管理局政府采购管理办法》执行。</w:t>
      </w:r>
      <w:r>
        <w:rPr>
          <w:rFonts w:hint="eastAsia" w:ascii="仿宋_GB2312" w:hAnsi="宋体" w:eastAsia="仿宋_GB2312"/>
          <w:b w:val="0"/>
          <w:bCs/>
          <w:sz w:val="32"/>
          <w:szCs w:val="32"/>
        </w:rPr>
        <w:cr/>
      </w:r>
      <w:r>
        <w:rPr>
          <w:rFonts w:hint="eastAsia" w:ascii="仿宋_GB2312" w:hAnsi="宋体" w:eastAsia="仿宋_GB2312"/>
          <w:b w:val="0"/>
          <w:bCs/>
          <w:sz w:val="32"/>
          <w:szCs w:val="32"/>
        </w:rPr>
        <w:t>　　（5）合同业务管理：按照《克州市场监督管理局合同管理办法》相关规定，克州市场监督管理局做好合同相关事宜。单位合同审核主体、内容及程序;单位法务介入条件与环节；单位合同台账设置及管理要求;单位合同章种类、使用权限及使用范围;单位合同执行监督机制；单位合同执行归档制度；</w:t>
      </w:r>
      <w:r>
        <w:rPr>
          <w:rFonts w:hint="eastAsia" w:ascii="仿宋_GB2312" w:hAnsi="宋体" w:eastAsia="仿宋_GB2312"/>
          <w:b w:val="0"/>
          <w:bCs/>
          <w:sz w:val="32"/>
          <w:szCs w:val="32"/>
        </w:rPr>
        <w:cr/>
      </w:r>
      <w:r>
        <w:rPr>
          <w:rFonts w:hint="eastAsia" w:ascii="仿宋_GB2312" w:hAnsi="宋体" w:eastAsia="仿宋_GB2312"/>
          <w:b w:val="0"/>
          <w:bCs/>
          <w:sz w:val="32"/>
          <w:szCs w:val="32"/>
        </w:rPr>
        <w:t>　　（6）会计业务管理办法：会计业务管理的基本原则是：坚决贯彻执行国家的有关财经方针、政策、会计法规及各项财务制度，任何人不得在政策法规范围之外，自作主张处理财务问题。充分发挥会计工作的核算、监督作用，严格执行各项费用开支标准，正确使用和管理各项资金。严格内部相互制约制度，严禁由一个人全程包办会计事项的支付业务。加强现金管理，严格按照现金使用范围支取现金，无白条抵库，无坐支现象。严格遵守银行、现金管理制度，通过银行收支款项，不得坐支现金。按月核对银行存款，盘点库存现金，日清月结，确保账实相符。单位财务支出严格执行法定代表人“一支笔”签字制度，报销单据必须合法，真实，有效。单据应由经办人、主任签字后方可报销，专项经费的管理。坚持转款专用的原则，严格分清农村公路建设专项资金与日常公用经费的支出界限。对专项资金的核算，按项目分别进行明细核算。</w:t>
      </w:r>
      <w:r>
        <w:rPr>
          <w:rFonts w:hint="eastAsia" w:ascii="仿宋_GB2312" w:hAnsi="宋体" w:eastAsia="仿宋_GB2312"/>
          <w:b w:val="0"/>
          <w:bCs/>
          <w:sz w:val="32"/>
          <w:szCs w:val="32"/>
        </w:rPr>
        <w:cr/>
      </w:r>
      <w:r>
        <w:rPr>
          <w:rFonts w:hint="eastAsia" w:ascii="仿宋_GB2312" w:hAnsi="宋体" w:eastAsia="仿宋_GB2312"/>
          <w:b w:val="0"/>
          <w:bCs/>
          <w:sz w:val="32"/>
          <w:szCs w:val="32"/>
        </w:rPr>
        <w:t>　　（三）单位资金分配情况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1.部门（单位）预算编制及分配依据</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本单位预算编制坚持量入为出、保障重点的原则?，对项目支出按照轻重缓急程度实行分类排序，统筹安排部门预算。2021年本单位安排项目预算时将项目支出进行细化，细化成单价、数量，单价以行业标准、市场数据以及历史数据作为编制依据进行核算，数量以实际需求等资料为依据进行测算。人员经费预算和公用经费预算均按照定额标准编制，预算与部门活动相匹配。</w:t>
      </w:r>
      <w:r>
        <w:rPr>
          <w:rFonts w:hint="eastAsia" w:ascii="仿宋_GB2312" w:hAnsi="宋体" w:eastAsia="仿宋_GB2312"/>
          <w:b w:val="0"/>
          <w:bCs/>
          <w:sz w:val="32"/>
          <w:szCs w:val="32"/>
        </w:rPr>
        <w:cr/>
      </w:r>
      <w:r>
        <w:rPr>
          <w:rFonts w:hint="eastAsia" w:ascii="仿宋_GB2312" w:hAnsi="宋体" w:eastAsia="仿宋_GB2312"/>
          <w:b w:val="0"/>
          <w:bCs/>
          <w:sz w:val="32"/>
          <w:szCs w:val="32"/>
        </w:rPr>
        <w:t>　　2.分配结果</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以年度工作计划与战略目标、中长期规划及各条线工作要求为资金分配依据，严格按照《中华人民共和国预算法》、《中华人民共和国预算法实施条例》规定分配本单位资金，2021年度本单位基本支出安排资金2,054.47 万元，项目支出安排资金292.15 万元。经对比分析我单位近三年预算执行情况和经常性项目预算执行情况，结果显示：我单位基本支出预算与历史数据相比平稳、合理；项目支出预算与部门履职、年度重点工作相匹配，体现了重要性原则，预算编制科学、合理。</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我单位牢固树立全面绩效管理理念，将预算绩效管理融入预算各类项目资金，将绩效理念融入预算各个层级，将绩效方法融入预算各项流程，严格按照政策要求编制部门整体支出绩效目标和项目支出绩效目标，切实实现预算编制有目标，确保了资金分配与绩效目标的一致性，实现预算绩效全覆盖。</w:t>
      </w:r>
      <w:r>
        <w:rPr>
          <w:rFonts w:hint="eastAsia" w:ascii="仿宋_GB2312" w:hAnsi="宋体" w:eastAsia="仿宋_GB2312"/>
          <w:b w:val="0"/>
          <w:bCs/>
          <w:sz w:val="32"/>
          <w:szCs w:val="32"/>
        </w:rPr>
        <w:cr/>
      </w:r>
      <w:r>
        <w:rPr>
          <w:rFonts w:hint="eastAsia" w:ascii="仿宋_GB2312" w:hAnsi="宋体" w:eastAsia="仿宋_GB2312"/>
          <w:b w:val="0"/>
          <w:bCs/>
          <w:sz w:val="32"/>
          <w:szCs w:val="32"/>
        </w:rPr>
        <w:t>　　3.重点支出保障率</w:t>
      </w:r>
      <w:r>
        <w:rPr>
          <w:rFonts w:hint="eastAsia" w:ascii="仿宋_GB2312" w:hAnsi="宋体" w:eastAsia="仿宋_GB2312"/>
          <w:b w:val="0"/>
          <w:bCs/>
          <w:sz w:val="32"/>
          <w:szCs w:val="32"/>
        </w:rPr>
        <w:cr/>
      </w:r>
      <w:r>
        <w:rPr>
          <w:rFonts w:hint="eastAsia" w:ascii="仿宋_GB2312" w:hAnsi="宋体" w:eastAsia="仿宋_GB2312"/>
          <w:b w:val="0"/>
          <w:bCs/>
          <w:sz w:val="32"/>
          <w:szCs w:val="32"/>
        </w:rPr>
        <w:t>　　本单位2021年度项目支出292.16万元，涉及项目数量1个，其中：重点项目支出155.68万元，涉及重点项目数量12个，重点项目支出与部门项目总支出的比率为53.29%。</w:t>
      </w:r>
      <w:r>
        <w:rPr>
          <w:rFonts w:hint="eastAsia" w:ascii="仿宋_GB2312" w:hAnsi="宋体" w:eastAsia="仿宋_GB2312"/>
          <w:b w:val="0"/>
          <w:bCs/>
          <w:sz w:val="32"/>
          <w:szCs w:val="32"/>
        </w:rPr>
        <w:cr/>
      </w:r>
      <w:r>
        <w:rPr>
          <w:rFonts w:hint="eastAsia" w:ascii="仿宋_GB2312" w:hAnsi="宋体" w:eastAsia="仿宋_GB2312"/>
          <w:b w:val="0"/>
          <w:bCs/>
          <w:sz w:val="32"/>
          <w:szCs w:val="32"/>
        </w:rPr>
        <w:t>　　（四）部门单位整体支出规模</w:t>
      </w:r>
      <w:r>
        <w:rPr>
          <w:rFonts w:hint="eastAsia" w:ascii="仿宋_GB2312" w:hAnsi="宋体" w:eastAsia="仿宋_GB2312"/>
          <w:b w:val="0"/>
          <w:bCs/>
          <w:sz w:val="32"/>
          <w:szCs w:val="32"/>
        </w:rPr>
        <w:cr/>
      </w:r>
      <w:r>
        <w:rPr>
          <w:rFonts w:hint="eastAsia" w:ascii="仿宋_GB2312" w:hAnsi="宋体" w:eastAsia="仿宋_GB2312"/>
          <w:b w:val="0"/>
          <w:bCs/>
          <w:sz w:val="32"/>
          <w:szCs w:val="32"/>
        </w:rPr>
        <w:t>　　1.全年预算执行情况分析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2021年度本单位年初批复部门预算资金总额为2170.78万元，年中调增预算总额为175.84万元，调整后全年预算资金总额为2,346.62 万元。</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2021年度本单位部门整体支出资金总额为2,346.62 万元，预算执行率为100%，预算调整率为</w:t>
      </w:r>
      <w:r>
        <w:rPr>
          <w:rFonts w:hint="eastAsia" w:ascii="仿宋_GB2312" w:hAnsi="宋体" w:eastAsia="仿宋_GB2312"/>
          <w:b w:val="0"/>
          <w:bCs/>
          <w:sz w:val="32"/>
          <w:szCs w:val="32"/>
          <w:lang w:val="en-US" w:eastAsia="zh-CN"/>
        </w:rPr>
        <w:t>8.10</w:t>
      </w:r>
      <w:bookmarkStart w:id="1" w:name="_GoBack"/>
      <w:bookmarkEnd w:id="1"/>
      <w:r>
        <w:rPr>
          <w:rFonts w:hint="eastAsia" w:ascii="仿宋_GB2312" w:hAnsi="宋体" w:eastAsia="仿宋_GB2312"/>
          <w:b w:val="0"/>
          <w:bCs/>
          <w:sz w:val="32"/>
          <w:szCs w:val="32"/>
        </w:rPr>
        <w:t>%。</w:t>
      </w:r>
      <w:r>
        <w:rPr>
          <w:rFonts w:hint="eastAsia" w:ascii="仿宋_GB2312" w:hAnsi="宋体" w:eastAsia="仿宋_GB2312"/>
          <w:b w:val="0"/>
          <w:bCs/>
          <w:sz w:val="32"/>
          <w:szCs w:val="32"/>
        </w:rPr>
        <w:cr/>
      </w:r>
      <w:r>
        <w:rPr>
          <w:rFonts w:hint="eastAsia" w:ascii="仿宋_GB2312" w:hAnsi="宋体" w:eastAsia="仿宋_GB2312"/>
          <w:b w:val="0"/>
          <w:bCs/>
          <w:sz w:val="32"/>
          <w:szCs w:val="32"/>
        </w:rPr>
        <w:t>　　2.政府采购项目预算执行情况分析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年初政府采购预算数为377.44万元，实际政府采购数为98.73万元，政府采购执行率为26.16%。</w:t>
      </w:r>
      <w:r>
        <w:rPr>
          <w:rFonts w:hint="eastAsia" w:ascii="仿宋_GB2312" w:hAnsi="宋体" w:eastAsia="仿宋_GB2312"/>
          <w:b w:val="0"/>
          <w:bCs/>
          <w:sz w:val="32"/>
          <w:szCs w:val="32"/>
        </w:rPr>
        <w:cr/>
      </w:r>
      <w:r>
        <w:rPr>
          <w:rFonts w:hint="eastAsia" w:ascii="仿宋_GB2312" w:hAnsi="宋体" w:eastAsia="仿宋_GB2312"/>
          <w:b w:val="0"/>
          <w:bCs/>
          <w:sz w:val="32"/>
          <w:szCs w:val="32"/>
        </w:rPr>
        <w:t>　　（五）使用方法和主要内容、涉及范围</w:t>
      </w:r>
      <w:r>
        <w:rPr>
          <w:rFonts w:hint="eastAsia" w:ascii="仿宋_GB2312" w:hAnsi="宋体" w:eastAsia="仿宋_GB2312"/>
          <w:b w:val="0"/>
          <w:bCs/>
          <w:sz w:val="32"/>
          <w:szCs w:val="32"/>
        </w:rPr>
        <w:cr/>
      </w:r>
      <w:r>
        <w:rPr>
          <w:rFonts w:hint="eastAsia" w:ascii="仿宋_GB2312" w:hAnsi="宋体" w:eastAsia="仿宋_GB2312"/>
          <w:b w:val="0"/>
          <w:bCs/>
          <w:sz w:val="32"/>
          <w:szCs w:val="32"/>
        </w:rPr>
        <w:t>　　1.评价方法</w:t>
      </w:r>
      <w:r>
        <w:rPr>
          <w:rFonts w:hint="eastAsia" w:ascii="仿宋_GB2312" w:hAnsi="宋体" w:eastAsia="仿宋_GB2312"/>
          <w:b w:val="0"/>
          <w:bCs/>
          <w:sz w:val="32"/>
          <w:szCs w:val="32"/>
        </w:rPr>
        <w:cr/>
      </w:r>
      <w:r>
        <w:rPr>
          <w:rFonts w:hint="eastAsia" w:ascii="仿宋_GB2312" w:hAnsi="宋体" w:eastAsia="仿宋_GB2312"/>
          <w:b w:val="0"/>
          <w:bCs/>
          <w:sz w:val="32"/>
          <w:szCs w:val="32"/>
        </w:rPr>
        <w:t>　　本次自评秉承科学规范、公正公开、分级分类、绩效相关等原则，按照从投入、过程到产出效果和影响的绩效逻辑路径，结合我单位部门整体支出实际开展情况，运用定量和定性分析相结合的方法，总结经验做法，反思项目实施和管理中的问题，以切实提升财政资金管理的科学化、规范化和精细化水平。</w:t>
      </w:r>
      <w:r>
        <w:rPr>
          <w:rFonts w:hint="eastAsia" w:ascii="仿宋_GB2312" w:hAnsi="宋体" w:eastAsia="仿宋_GB2312"/>
          <w:b w:val="0"/>
          <w:bCs/>
          <w:sz w:val="32"/>
          <w:szCs w:val="32"/>
        </w:rPr>
        <w:cr/>
      </w:r>
      <w:r>
        <w:rPr>
          <w:rFonts w:hint="eastAsia" w:ascii="仿宋_GB2312" w:hAnsi="宋体" w:eastAsia="仿宋_GB2312"/>
          <w:b w:val="0"/>
          <w:bCs/>
          <w:sz w:val="32"/>
          <w:szCs w:val="32"/>
        </w:rPr>
        <w:t>　　2.评价对象及主要内容</w:t>
      </w:r>
      <w:r>
        <w:rPr>
          <w:rFonts w:hint="eastAsia" w:ascii="仿宋_GB2312" w:hAnsi="宋体" w:eastAsia="仿宋_GB2312"/>
          <w:b w:val="0"/>
          <w:bCs/>
          <w:sz w:val="32"/>
          <w:szCs w:val="32"/>
        </w:rPr>
        <w:cr/>
      </w:r>
      <w:r>
        <w:rPr>
          <w:rFonts w:hint="eastAsia" w:ascii="仿宋_GB2312" w:hAnsi="宋体" w:eastAsia="仿宋_GB2312"/>
          <w:b w:val="0"/>
          <w:bCs/>
          <w:sz w:val="32"/>
          <w:szCs w:val="32"/>
        </w:rPr>
        <w:t>　　评价的对象及主要内容为:一是部门单位整体管理及使用情况，具体涉及预算管理、基本支出和专项支出的管理及使用情况；二是部门单位整体支出绩效情况，具体涉及部门单位整体支出绩效目标的实现程度，包括是否达到预定产出、效果和效益效率等；三是部门单位专项组织实施情况，具体涉及专项组织情况分析和相关管理情况；四是资产管理情况，具体涉及资产管理规范性和资产变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3.涉及的范围</w:t>
      </w:r>
      <w:r>
        <w:rPr>
          <w:rFonts w:hint="eastAsia" w:ascii="仿宋_GB2312" w:hAnsi="宋体" w:eastAsia="仿宋_GB2312"/>
          <w:b w:val="0"/>
          <w:bCs/>
          <w:sz w:val="32"/>
          <w:szCs w:val="32"/>
        </w:rPr>
        <w:cr/>
      </w:r>
      <w:r>
        <w:rPr>
          <w:rFonts w:hint="eastAsia" w:ascii="仿宋_GB2312" w:hAnsi="宋体" w:eastAsia="仿宋_GB2312"/>
          <w:b w:val="0"/>
          <w:bCs/>
          <w:sz w:val="32"/>
          <w:szCs w:val="32"/>
        </w:rPr>
        <w:t>　　此次我单位根据《财政支出绩效评价管理暂行办法》（财预〔2021〕10号）等一系列文件要求对2021年度我单位部门整体支出开展部门（单位）整体支出绩效自评，本次自评主要内容和涉及范围：一是部门（单位）整体支出管理及使用情况，具体涉及预算管理、基本支出和使用情况、和专项支出管理和使用情况；二是部门（单位）专项组织实施情况具体涉及专项组织情况分析和管理情况分析；三是资产管理情况具体涉及资产管理规范性和固定资产利用率；四是部门（单位）整体支出绩效情况具体涉及部门（单位）整体支出绩效目标的实现程度，包括是否达到预定产出、效果和效益效率等方面进行评价。</w:t>
      </w:r>
      <w:bookmarkStart w:id="0" w:name="_Hlk43849111"/>
      <w:bookmarkEnd w:id="0"/>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部门单位整体支出管理及使用情况</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（一）预算管理</w:t>
      </w:r>
      <w:r>
        <w:rPr>
          <w:rFonts w:hint="eastAsia" w:ascii="仿宋_GB2312" w:hAnsi="宋体" w:eastAsia="仿宋_GB2312"/>
          <w:b w:val="0"/>
          <w:bCs/>
          <w:sz w:val="32"/>
          <w:szCs w:val="32"/>
        </w:rPr>
        <w:cr/>
      </w:r>
      <w:r>
        <w:rPr>
          <w:rFonts w:hint="eastAsia" w:ascii="仿宋_GB2312" w:hAnsi="宋体" w:eastAsia="仿宋_GB2312"/>
          <w:b w:val="0"/>
          <w:bCs/>
          <w:sz w:val="32"/>
          <w:szCs w:val="32"/>
        </w:rPr>
        <w:t>　　1.管理制度健全性</w:t>
      </w:r>
      <w:r>
        <w:rPr>
          <w:rFonts w:hint="eastAsia" w:ascii="仿宋_GB2312" w:hAnsi="宋体" w:eastAsia="仿宋_GB2312"/>
          <w:b w:val="0"/>
          <w:bCs/>
          <w:sz w:val="32"/>
          <w:szCs w:val="32"/>
        </w:rPr>
        <w:cr/>
      </w:r>
      <w:r>
        <w:rPr>
          <w:rFonts w:hint="eastAsia" w:ascii="仿宋_GB2312" w:hAnsi="宋体" w:eastAsia="仿宋_GB2312"/>
          <w:b w:val="0"/>
          <w:bCs/>
          <w:sz w:val="32"/>
          <w:szCs w:val="32"/>
        </w:rPr>
        <w:t>　　为加强我单位预算管理、规范财务行为我单位制定了《克州市场监督管理局内部控制规范》《克州市场监督管理局项目管理规范》等资金管理制度，已建立制度均健全且有效运行。</w:t>
      </w:r>
      <w:r>
        <w:rPr>
          <w:rFonts w:hint="eastAsia" w:ascii="仿宋_GB2312" w:hAnsi="宋体" w:eastAsia="仿宋_GB2312"/>
          <w:b w:val="0"/>
          <w:bCs/>
          <w:sz w:val="32"/>
          <w:szCs w:val="32"/>
        </w:rPr>
        <w:cr/>
      </w:r>
      <w:r>
        <w:rPr>
          <w:rFonts w:hint="eastAsia" w:ascii="仿宋_GB2312" w:hAnsi="宋体" w:eastAsia="仿宋_GB2312"/>
          <w:b w:val="0"/>
          <w:bCs/>
          <w:sz w:val="32"/>
          <w:szCs w:val="32"/>
        </w:rPr>
        <w:t>　　2.资金使用合规性和安全性</w:t>
      </w:r>
      <w:r>
        <w:rPr>
          <w:rFonts w:hint="eastAsia" w:ascii="仿宋_GB2312" w:hAnsi="宋体" w:eastAsia="仿宋_GB2312"/>
          <w:b w:val="0"/>
          <w:bCs/>
          <w:sz w:val="32"/>
          <w:szCs w:val="32"/>
        </w:rPr>
        <w:cr/>
      </w:r>
      <w:r>
        <w:rPr>
          <w:rFonts w:hint="eastAsia" w:ascii="仿宋_GB2312" w:hAnsi="宋体" w:eastAsia="仿宋_GB2312"/>
          <w:b w:val="0"/>
          <w:bCs/>
          <w:sz w:val="32"/>
          <w:szCs w:val="32"/>
        </w:rPr>
        <w:t>　　根据自评小组对账务、会计凭证核查显示，我单位2021年资金使用符合国家财经法规和财务管理制度以及有关专项资金管理办法的规定；资金的拨付有完整的审批程序和手续；我单位建立了内部沟通协调机制，资金预算和计划的编制、调整、资金申请、信息及资料有效传递。采购合同和验收报告作为财务室采购资金支付的主要依据，在达到合同约定的付款条件时，采购需求部门及时向财务室递交采购公告、中标通知书、采购合同、验收报告以及原始发票等，由财务室按资金拨付规定及流程实行国库集中支付；不存在截留、挤占、挪用、虚列支出等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3.预决算信息公开性</w:t>
      </w:r>
      <w:r>
        <w:rPr>
          <w:rFonts w:hint="eastAsia" w:ascii="仿宋_GB2312" w:hAnsi="宋体" w:eastAsia="仿宋_GB2312"/>
          <w:b w:val="0"/>
          <w:bCs/>
          <w:sz w:val="32"/>
          <w:szCs w:val="32"/>
        </w:rPr>
        <w:cr/>
      </w:r>
      <w:r>
        <w:rPr>
          <w:rFonts w:hint="eastAsia" w:ascii="仿宋_GB2312" w:hAnsi="宋体" w:eastAsia="仿宋_GB2312"/>
          <w:b w:val="0"/>
          <w:bCs/>
          <w:sz w:val="32"/>
          <w:szCs w:val="32"/>
        </w:rPr>
        <w:t>　　按照自治州财政局预决算信息公开工作要求，我单位在自治州政府信息网财政信息公开专栏对本单位预决算信息进行了公开。公开内容主要包括：本单位主要职能、机构及人员情况，收入、支出预算安排及决算情况，“三公经费”预算安排及决算情况，政府采购情况，国有资产占用情况，预算绩效情况等信息，主动接受社会各界监督。</w:t>
      </w:r>
      <w:r>
        <w:rPr>
          <w:rFonts w:hint="eastAsia" w:ascii="仿宋_GB2312" w:hAnsi="宋体" w:eastAsia="仿宋_GB2312"/>
          <w:b w:val="0"/>
          <w:bCs/>
          <w:sz w:val="32"/>
          <w:szCs w:val="32"/>
        </w:rPr>
        <w:cr/>
      </w:r>
      <w:r>
        <w:rPr>
          <w:rFonts w:hint="eastAsia" w:ascii="仿宋_GB2312" w:hAnsi="宋体" w:eastAsia="仿宋_GB2312"/>
          <w:b w:val="0"/>
          <w:bCs/>
          <w:sz w:val="32"/>
          <w:szCs w:val="32"/>
        </w:rPr>
        <w:t>　　（二）基本支出管理和使用情况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1.基本支出使用情况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2021年度我单位基本支出预算总额为2,054.47 万元，其中人员经费1,929.24 万元，公用经费125.22 万元。实际执行总额为2,054.47 万元，预算执行率100%。</w:t>
      </w:r>
      <w:r>
        <w:rPr>
          <w:rFonts w:hint="eastAsia" w:ascii="仿宋_GB2312" w:hAnsi="宋体" w:eastAsia="仿宋_GB2312"/>
          <w:b w:val="0"/>
          <w:bCs/>
          <w:sz w:val="32"/>
          <w:szCs w:val="32"/>
        </w:rPr>
        <w:cr/>
      </w:r>
      <w:r>
        <w:rPr>
          <w:rFonts w:hint="eastAsia" w:ascii="仿宋_GB2312" w:hAnsi="宋体" w:eastAsia="仿宋_GB2312"/>
          <w:b w:val="0"/>
          <w:bCs/>
          <w:sz w:val="32"/>
          <w:szCs w:val="32"/>
        </w:rPr>
        <w:t>　　2.三公经费控制情况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一般公共预算“三公”经费支出决算18.33万元，比上年减少3.50万元，减少16.04%，主要原因是：按照厉行节约的要求，2021年缩减公务车运行维护费，因此支出随之减少。其中，因公出国（境）费支出0万元；公务用车购置及运行维护费支出15.82万元；公务接待费支出2.51万元;</w:t>
      </w:r>
      <w:r>
        <w:rPr>
          <w:rFonts w:hint="eastAsia" w:ascii="仿宋_GB2312" w:hAnsi="宋体" w:eastAsia="仿宋_GB2312"/>
          <w:b w:val="0"/>
          <w:bCs/>
          <w:sz w:val="32"/>
          <w:szCs w:val="32"/>
        </w:rPr>
        <w:cr/>
      </w:r>
      <w:r>
        <w:rPr>
          <w:rFonts w:hint="eastAsia" w:ascii="仿宋_GB2312" w:hAnsi="宋体" w:eastAsia="仿宋_GB2312"/>
          <w:b w:val="0"/>
          <w:bCs/>
          <w:sz w:val="32"/>
          <w:szCs w:val="32"/>
        </w:rPr>
        <w:t>　　与年初预算数相比情况：一般公共预算“三公”经费支出年初预算数0万元，预算执行数为18.33万元，执行率为-100%，主要原因是：按照厉行节约的要求，2021年缩减公务车运行维护费，因此支出随之减少。</w:t>
      </w:r>
      <w:r>
        <w:rPr>
          <w:rFonts w:hint="eastAsia" w:ascii="仿宋_GB2312" w:hAnsi="宋体" w:eastAsia="仿宋_GB2312"/>
          <w:b w:val="0"/>
          <w:bCs/>
          <w:sz w:val="32"/>
          <w:szCs w:val="32"/>
        </w:rPr>
        <w:cr/>
      </w:r>
      <w:r>
        <w:rPr>
          <w:rFonts w:hint="eastAsia" w:ascii="仿宋_GB2312" w:hAnsi="宋体" w:eastAsia="仿宋_GB2312"/>
          <w:b w:val="0"/>
          <w:bCs/>
          <w:sz w:val="32"/>
          <w:szCs w:val="32"/>
        </w:rPr>
        <w:t>　　综上我单位2021年度三公经费控制较好，与上年相比存在降低与年初预算相比，未超出年初预算。</w:t>
      </w:r>
      <w:r>
        <w:rPr>
          <w:rFonts w:hint="eastAsia" w:ascii="仿宋_GB2312" w:hAnsi="宋体" w:eastAsia="仿宋_GB2312"/>
          <w:b w:val="0"/>
          <w:bCs/>
          <w:sz w:val="32"/>
          <w:szCs w:val="32"/>
        </w:rPr>
        <w:cr/>
      </w:r>
      <w:r>
        <w:rPr>
          <w:rFonts w:hint="eastAsia" w:ascii="仿宋_GB2312" w:hAnsi="宋体" w:eastAsia="仿宋_GB2312"/>
          <w:b w:val="0"/>
          <w:bCs/>
          <w:sz w:val="32"/>
          <w:szCs w:val="32"/>
        </w:rPr>
        <w:t>　　（三）项目支出管理和使用情况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2021年度本单位项目支出预算总额为362.50万元，实际执行资金总额为292.16万元，预算执行率为80.60%。</w:t>
      </w:r>
      <w:r>
        <w:rPr>
          <w:rFonts w:hint="eastAsia" w:ascii="仿宋_GB2312" w:hAnsi="宋体" w:eastAsia="仿宋_GB2312"/>
          <w:b w:val="0"/>
          <w:bCs/>
          <w:sz w:val="32"/>
          <w:szCs w:val="32"/>
        </w:rPr>
        <w:cr/>
      </w:r>
      <w:r>
        <w:rPr>
          <w:rFonts w:hint="eastAsia" w:ascii="仿宋_GB2312" w:hAnsi="宋体" w:eastAsia="仿宋_GB2312"/>
          <w:b w:val="0"/>
          <w:bCs/>
          <w:sz w:val="32"/>
          <w:szCs w:val="32"/>
        </w:rPr>
        <w:t>　　1.专项支出管理和使用情况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2021年度预算安排专项资金278.90万元，实际支出资金239.38万元，预算执行率为85.83</w:t>
      </w:r>
      <w:r>
        <w:rPr>
          <w:rFonts w:hint="eastAsia" w:ascii="仿宋_GB2312" w:hAnsi="宋体" w:eastAsia="仿宋_GB2312"/>
          <w:b w:val="0"/>
          <w:bCs/>
          <w:sz w:val="32"/>
          <w:szCs w:val="32"/>
        </w:rPr>
        <w:tab/>
      </w:r>
      <w:r>
        <w:rPr>
          <w:rFonts w:hint="eastAsia" w:ascii="仿宋_GB2312" w:hAnsi="宋体" w:eastAsia="仿宋_GB2312"/>
          <w:b w:val="0"/>
          <w:bCs/>
          <w:sz w:val="32"/>
          <w:szCs w:val="32"/>
        </w:rPr>
        <w:t>%，涉及项目个数7个。专项经费按照政策要求实行专款专用，不存在截留、挤占、挪用、虚列支出。各项目详细执行情况如下：</w:t>
      </w:r>
      <w:r>
        <w:rPr>
          <w:rFonts w:hint="eastAsia" w:ascii="仿宋_GB2312" w:hAnsi="宋体" w:eastAsia="仿宋_GB2312"/>
          <w:b w:val="0"/>
          <w:bCs/>
          <w:sz w:val="32"/>
          <w:szCs w:val="32"/>
        </w:rPr>
        <w:cr/>
      </w:r>
      <w:r>
        <w:rPr>
          <w:rFonts w:hint="eastAsia" w:ascii="仿宋_GB2312" w:hAnsi="宋体" w:eastAsia="仿宋_GB2312"/>
          <w:b w:val="0"/>
          <w:bCs/>
          <w:sz w:val="32"/>
          <w:szCs w:val="32"/>
        </w:rPr>
        <w:t>　　第一书记工作经费、为民办实事工作经费项目:全年预算数为59.73万元，预算执行数为43.3万元，预算执行率为72.49%。</w:t>
      </w:r>
      <w:r>
        <w:rPr>
          <w:rFonts w:hint="eastAsia" w:ascii="仿宋_GB2312" w:hAnsi="宋体" w:eastAsia="仿宋_GB2312"/>
          <w:b w:val="0"/>
          <w:bCs/>
          <w:sz w:val="32"/>
          <w:szCs w:val="32"/>
        </w:rPr>
        <w:cr/>
      </w:r>
      <w:r>
        <w:rPr>
          <w:rFonts w:hint="eastAsia" w:ascii="仿宋_GB2312" w:hAnsi="宋体" w:eastAsia="仿宋_GB2312"/>
          <w:b w:val="0"/>
          <w:bCs/>
          <w:sz w:val="32"/>
          <w:szCs w:val="32"/>
        </w:rPr>
        <w:t>　　"互联网+明厨亮灶"智慧监管工作经费项目:全年预算数为2万元，预算执行数为2万元，预算执行率为100%。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自治区财政新冠肺炎疫情防控补助资金项目:全年预算数为155.68万元，预算执行数为155.68万元，预算执行率为100%。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2021年度药品监管抽检经费项目:全年预算数为11.04万元，预算执行数为0万元，预算执行率为0%。</w:t>
      </w:r>
      <w:r>
        <w:rPr>
          <w:rFonts w:hint="eastAsia" w:ascii="仿宋_GB2312" w:hAnsi="宋体" w:eastAsia="仿宋_GB2312"/>
          <w:b w:val="0"/>
          <w:bCs/>
          <w:sz w:val="32"/>
          <w:szCs w:val="32"/>
        </w:rPr>
        <w:cr/>
      </w:r>
      <w:r>
        <w:rPr>
          <w:rFonts w:hint="eastAsia" w:ascii="仿宋_GB2312" w:hAnsi="宋体" w:eastAsia="仿宋_GB2312"/>
          <w:b w:val="0"/>
          <w:bCs/>
          <w:sz w:val="32"/>
          <w:szCs w:val="32"/>
        </w:rPr>
        <w:t>　　2020年食品安全监督管理经费项目:全年预算数为4.32万元，预算执行数为4.32万元，预算执行率为100%。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2020年食品监管补助资金项目:全年预算数为31.13万元，预算执行数为24.74万元，预算执行率为79.47%。</w:t>
      </w:r>
      <w:r>
        <w:rPr>
          <w:rFonts w:hint="eastAsia" w:ascii="仿宋_GB2312" w:hAnsi="宋体" w:eastAsia="仿宋_GB2312"/>
          <w:b w:val="0"/>
          <w:bCs/>
          <w:sz w:val="32"/>
          <w:szCs w:val="32"/>
        </w:rPr>
        <w:cr/>
      </w:r>
      <w:r>
        <w:rPr>
          <w:rFonts w:hint="eastAsia" w:ascii="仿宋_GB2312" w:hAnsi="宋体" w:eastAsia="仿宋_GB2312"/>
          <w:b w:val="0"/>
          <w:bCs/>
          <w:sz w:val="32"/>
          <w:szCs w:val="32"/>
        </w:rPr>
        <w:t>　　成品油抽检专项经费项目:全年预算数为5万元，预算执行数为5万元，预算执行率为100%。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2021年食品药品监管补助项目:全年预算数为15万元，预算执行数为9.34万元，预算执行率为62.27%。</w:t>
      </w:r>
      <w:r>
        <w:rPr>
          <w:rFonts w:hint="eastAsia" w:ascii="仿宋_GB2312" w:hAnsi="宋体" w:eastAsia="仿宋_GB2312"/>
          <w:b w:val="0"/>
          <w:bCs/>
          <w:sz w:val="32"/>
          <w:szCs w:val="32"/>
        </w:rPr>
        <w:cr/>
      </w:r>
      <w:r>
        <w:rPr>
          <w:rFonts w:hint="eastAsia" w:ascii="仿宋_GB2312" w:hAnsi="宋体" w:eastAsia="仿宋_GB2312"/>
          <w:b w:val="0"/>
          <w:bCs/>
          <w:sz w:val="32"/>
          <w:szCs w:val="32"/>
        </w:rPr>
        <w:t>　　2.本级财力预算安排支出管理和使用情况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2021年度预算安排本级财力资金83.60万元，实际支出资金52.78万元，预算执行率为63.13%，涉及项目个数5个，各项目详细执行情况如下：</w:t>
      </w:r>
      <w:r>
        <w:rPr>
          <w:rFonts w:hint="eastAsia" w:ascii="仿宋_GB2312" w:hAnsi="宋体" w:eastAsia="仿宋_GB2312"/>
          <w:b w:val="0"/>
          <w:bCs/>
          <w:sz w:val="32"/>
          <w:szCs w:val="32"/>
        </w:rPr>
        <w:cr/>
      </w:r>
      <w:r>
        <w:rPr>
          <w:rFonts w:hint="eastAsia" w:ascii="仿宋_GB2312" w:hAnsi="宋体" w:eastAsia="仿宋_GB2312"/>
          <w:b w:val="0"/>
          <w:bCs/>
          <w:sz w:val="32"/>
          <w:szCs w:val="32"/>
        </w:rPr>
        <w:t>　　电梯应急处置救援服务平台项目:全年预算数为12万元，预算执行数为12万元，预算执行率为100%。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联建工作经费项目:全年预算数为29万元，预算执行数为5.66万元，预算执行率为19.52%。</w:t>
      </w:r>
      <w:r>
        <w:rPr>
          <w:rFonts w:hint="eastAsia" w:ascii="仿宋_GB2312" w:hAnsi="宋体" w:eastAsia="仿宋_GB2312"/>
          <w:b w:val="0"/>
          <w:bCs/>
          <w:sz w:val="32"/>
          <w:szCs w:val="32"/>
        </w:rPr>
        <w:cr/>
      </w:r>
      <w:r>
        <w:rPr>
          <w:rFonts w:hint="eastAsia" w:ascii="仿宋_GB2312" w:hAnsi="宋体" w:eastAsia="仿宋_GB2312"/>
          <w:b w:val="0"/>
          <w:bCs/>
          <w:sz w:val="32"/>
          <w:szCs w:val="32"/>
        </w:rPr>
        <w:t>　　价格监督专项业务项目:全年预算数为2万元，预算执行数为1.99万元，预算执行率为99.50%。</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2021年食品抽检经费项目:全年预算数为35.6万元，预算执行数为29.95万元，预算执行率为84.13%。</w:t>
      </w:r>
      <w:r>
        <w:rPr>
          <w:rFonts w:hint="eastAsia" w:ascii="仿宋_GB2312" w:hAnsi="宋体" w:eastAsia="仿宋_GB2312"/>
          <w:b w:val="0"/>
          <w:bCs/>
          <w:sz w:val="32"/>
          <w:szCs w:val="32"/>
        </w:rPr>
        <w:cr/>
      </w:r>
      <w:r>
        <w:rPr>
          <w:rFonts w:hint="eastAsia" w:ascii="仿宋_GB2312" w:hAnsi="宋体" w:eastAsia="仿宋_GB2312"/>
          <w:b w:val="0"/>
          <w:bCs/>
          <w:sz w:val="32"/>
          <w:szCs w:val="32"/>
        </w:rPr>
        <w:t>　　成品油抽检专项经费项目:全年预算数为5万元，预算执行数为3.18万元，预算执行率为63.60%。</w:t>
      </w:r>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部门单位专项组织实施情况</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（一）专项组织情况分析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一是专项前期准备工作：下达专项工作任务，拟定工作方案，收集整理相关资料，准备开展各项专项工作。</w:t>
      </w:r>
      <w:r>
        <w:rPr>
          <w:rFonts w:hint="eastAsia" w:ascii="仿宋_GB2312" w:hAnsi="宋体" w:eastAsia="仿宋_GB2312"/>
          <w:b w:val="0"/>
          <w:bCs/>
          <w:sz w:val="32"/>
          <w:szCs w:val="32"/>
        </w:rPr>
        <w:cr/>
      </w:r>
      <w:r>
        <w:rPr>
          <w:rFonts w:hint="eastAsia" w:ascii="仿宋_GB2312" w:hAnsi="宋体" w:eastAsia="仿宋_GB2312"/>
          <w:b w:val="0"/>
          <w:bCs/>
          <w:sz w:val="32"/>
          <w:szCs w:val="32"/>
        </w:rPr>
        <w:t>　　二是专项组织实施过程：2021年以内控体系建设为抓手,进-完善财务制度,规范收支流程,严格审批制度。严格执行各项财经制度和管理规定,对预算资金严格控制,规范使用,强化执行，专项资金预算执行率为85.83%。加强专项资金的管理和核算,专项资金严格按照项目实施方案执行。接受各项财务检查中未发现重大管理漏洞和问题,并通过检查推进财务规范化管理。</w:t>
      </w:r>
      <w:r>
        <w:rPr>
          <w:rFonts w:hint="eastAsia" w:ascii="仿宋_GB2312" w:hAnsi="宋体" w:eastAsia="仿宋_GB2312"/>
          <w:b w:val="0"/>
          <w:bCs/>
          <w:sz w:val="32"/>
          <w:szCs w:val="32"/>
        </w:rPr>
        <w:cr/>
      </w:r>
      <w:r>
        <w:rPr>
          <w:rFonts w:hint="eastAsia" w:ascii="仿宋_GB2312" w:hAnsi="宋体" w:eastAsia="仿宋_GB2312"/>
          <w:b w:val="0"/>
          <w:bCs/>
          <w:sz w:val="32"/>
          <w:szCs w:val="32"/>
        </w:rPr>
        <w:t>　　（二）专项管理情况分析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1.设立专项的政策依据</w:t>
      </w:r>
      <w:r>
        <w:rPr>
          <w:rFonts w:hint="eastAsia" w:ascii="仿宋_GB2312" w:hAnsi="宋体" w:eastAsia="仿宋_GB2312"/>
          <w:b w:val="0"/>
          <w:bCs/>
          <w:sz w:val="32"/>
          <w:szCs w:val="32"/>
        </w:rPr>
        <w:cr/>
      </w:r>
      <w:r>
        <w:rPr>
          <w:rFonts w:hint="eastAsia" w:ascii="仿宋_GB2312" w:hAnsi="宋体" w:eastAsia="仿宋_GB2312"/>
          <w:b w:val="0"/>
          <w:bCs/>
          <w:sz w:val="32"/>
          <w:szCs w:val="32"/>
        </w:rPr>
        <w:t>　　第一书记工作经费、为民办实事工作经费项目:依据《自治区“访民情惠民生聚民心”驻村工作为民办实事工作经费使用管理办法（试行）的通知》（新民办发〔2016〕62号）、《关于拨付2021年自治区“访惠聚”驻村工作经费的通知》新财预（2021）19号文件。</w:t>
      </w:r>
      <w:r>
        <w:rPr>
          <w:rFonts w:hint="eastAsia" w:ascii="仿宋_GB2312" w:hAnsi="宋体" w:eastAsia="仿宋_GB2312"/>
          <w:b w:val="0"/>
          <w:bCs/>
          <w:sz w:val="32"/>
          <w:szCs w:val="32"/>
        </w:rPr>
        <w:cr/>
      </w:r>
      <w:r>
        <w:rPr>
          <w:rFonts w:hint="eastAsia" w:ascii="仿宋_GB2312" w:hAnsi="宋体" w:eastAsia="仿宋_GB2312"/>
          <w:b w:val="0"/>
          <w:bCs/>
          <w:sz w:val="32"/>
          <w:szCs w:val="32"/>
        </w:rPr>
        <w:t>　　"互联网+明厨亮灶"智慧监管工作经费项目:依据《关于下达2021年中央食品药品监管补助资金的通知》新财行（2021）92号文件。</w:t>
      </w:r>
      <w:r>
        <w:rPr>
          <w:rFonts w:hint="eastAsia" w:ascii="仿宋_GB2312" w:hAnsi="宋体" w:eastAsia="仿宋_GB2312"/>
          <w:b w:val="0"/>
          <w:bCs/>
          <w:sz w:val="32"/>
          <w:szCs w:val="32"/>
        </w:rPr>
        <w:cr/>
      </w:r>
      <w:r>
        <w:rPr>
          <w:rFonts w:hint="eastAsia" w:ascii="仿宋_GB2312" w:hAnsi="宋体" w:eastAsia="仿宋_GB2312"/>
          <w:b w:val="0"/>
          <w:bCs/>
          <w:sz w:val="32"/>
          <w:szCs w:val="32"/>
        </w:rPr>
        <w:t>　　自治区财政新冠肺炎疫情防控补助资金项目:依据《关于拨付2020年度新冠疫情防控资金的通知》新财社（2020）213号文件。</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2021年度药品监管抽检经费项目:依据《关于拨付2021年度药品监管抽检经费的通知》新财行（2021）300号文件。</w:t>
      </w:r>
      <w:r>
        <w:rPr>
          <w:rFonts w:hint="eastAsia" w:ascii="仿宋_GB2312" w:hAnsi="宋体" w:eastAsia="仿宋_GB2312"/>
          <w:b w:val="0"/>
          <w:bCs/>
          <w:sz w:val="32"/>
          <w:szCs w:val="32"/>
        </w:rPr>
        <w:cr/>
      </w:r>
      <w:r>
        <w:rPr>
          <w:rFonts w:hint="eastAsia" w:ascii="仿宋_GB2312" w:hAnsi="宋体" w:eastAsia="仿宋_GB2312"/>
          <w:b w:val="0"/>
          <w:bCs/>
          <w:sz w:val="32"/>
          <w:szCs w:val="32"/>
        </w:rPr>
        <w:t>　　2020年食品安全监督管理经费项目:依据《关于拨付食品安全监督管理经费的通知》新财行（2020）110号文件。</w:t>
      </w:r>
      <w:r>
        <w:rPr>
          <w:rFonts w:hint="eastAsia" w:ascii="仿宋_GB2312" w:hAnsi="宋体" w:eastAsia="仿宋_GB2312"/>
          <w:b w:val="0"/>
          <w:bCs/>
          <w:sz w:val="32"/>
          <w:szCs w:val="32"/>
        </w:rPr>
        <w:cr/>
      </w:r>
      <w:r>
        <w:rPr>
          <w:rFonts w:hint="eastAsia" w:ascii="仿宋_GB2312" w:hAnsi="宋体" w:eastAsia="仿宋_GB2312"/>
          <w:b w:val="0"/>
          <w:bCs/>
          <w:sz w:val="32"/>
          <w:szCs w:val="32"/>
        </w:rPr>
        <w:t>　　2020年食品监管补助资金项目:依据《关于提前下达2021年中央食品药品监管补助资金的通知》新财行（2020）236号文件。</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2021年食品药品监管补助项目:依据《关于提前下达2022年食品药品监管补助资金预算的通知》新财行（2021）321号文件。</w:t>
      </w:r>
      <w:r>
        <w:rPr>
          <w:rFonts w:hint="eastAsia" w:ascii="仿宋_GB2312" w:hAnsi="宋体" w:eastAsia="仿宋_GB2312"/>
          <w:b w:val="0"/>
          <w:bCs/>
          <w:sz w:val="32"/>
          <w:szCs w:val="32"/>
        </w:rPr>
        <w:cr/>
      </w:r>
      <w:r>
        <w:rPr>
          <w:rFonts w:hint="eastAsia" w:ascii="仿宋_GB2312" w:hAnsi="宋体" w:eastAsia="仿宋_GB2312"/>
          <w:b w:val="0"/>
          <w:bCs/>
          <w:sz w:val="32"/>
          <w:szCs w:val="32"/>
        </w:rPr>
        <w:t>　　2.项目资金情况分析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共有7项专项，总投入共计278.90万元，资金全部到位，实际使用资金239.38万元，专项资金执行率为85.83%。专项资金严格按照《财务管理制度》《专项资金使用管理制度》《内部控制管理手册》实行专款专用，在本年度审计和财政监督检查过程中未发生资金违规使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3.项目实施情况分析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（1）组织情况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按照项目工作内容、工作措施、工作时限和要达到的预期效果，进一步分解细化，将责任落实到岗位，使各部门专项工作任务与绩效评评价指标与紧密结合起来，推动各项工作落实。</w:t>
      </w:r>
      <w:r>
        <w:rPr>
          <w:rFonts w:hint="eastAsia" w:ascii="仿宋_GB2312" w:hAnsi="宋体" w:eastAsia="仿宋_GB2312"/>
          <w:b w:val="0"/>
          <w:bCs/>
          <w:sz w:val="32"/>
          <w:szCs w:val="32"/>
        </w:rPr>
        <w:cr/>
      </w:r>
      <w:r>
        <w:rPr>
          <w:rFonts w:hint="eastAsia" w:ascii="仿宋_GB2312" w:hAnsi="宋体" w:eastAsia="仿宋_GB2312"/>
          <w:b w:val="0"/>
          <w:bCs/>
          <w:sz w:val="32"/>
          <w:szCs w:val="32"/>
        </w:rPr>
        <w:t>　　（2）管理情况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严格遵守《会计法》《预算法》《行政单位财务规则》等法律和有关财政财务规章，规范财政资金管理，量入为出，统筹兼顾，突出重点，讲究实效，防范风险，合理使用各项建设资金，确保了我单位预算管理的成效，全年预算支出整体受控。</w:t>
      </w:r>
      <w:r>
        <w:rPr>
          <w:rFonts w:hint="eastAsia" w:ascii="仿宋_GB2312" w:hAnsi="宋体" w:eastAsia="仿宋_GB2312"/>
          <w:b w:val="0"/>
          <w:bCs/>
          <w:sz w:val="32"/>
          <w:szCs w:val="32"/>
        </w:rPr>
        <w:cr/>
      </w:r>
      <w:r>
        <w:rPr>
          <w:rFonts w:hint="eastAsia" w:ascii="仿宋_GB2312" w:hAnsi="宋体" w:eastAsia="仿宋_GB2312"/>
          <w:b w:val="0"/>
          <w:bCs/>
          <w:sz w:val="32"/>
          <w:szCs w:val="32"/>
        </w:rPr>
        <w:t>　　①制订《克州市场监督管理局经费使用规范》,为合理合规使用经费提供了有力的制度保障。同时,建立区委组织部项目经费内部管控制度，并严格按要求落实。</w:t>
      </w:r>
      <w:r>
        <w:rPr>
          <w:rFonts w:hint="eastAsia" w:ascii="仿宋_GB2312" w:hAnsi="宋体" w:eastAsia="仿宋_GB2312"/>
          <w:b w:val="0"/>
          <w:bCs/>
          <w:sz w:val="32"/>
          <w:szCs w:val="32"/>
        </w:rPr>
        <w:cr/>
      </w:r>
      <w:r>
        <w:rPr>
          <w:rFonts w:hint="eastAsia" w:ascii="仿宋_GB2312" w:hAnsi="宋体" w:eastAsia="仿宋_GB2312"/>
          <w:b w:val="0"/>
          <w:bCs/>
          <w:sz w:val="32"/>
          <w:szCs w:val="32"/>
        </w:rPr>
        <w:t>　　②年初对预算指标按照项目分类,从数量、金额和业务发生科室等方面分别进行管理控制,使财务负责人、专项经费经办人及专项经费使用者及时掌握预算信息,随时检查预算执行情况。申请经费到位后，严格验收签字程序。对经费使用的合理合规进行审核，对资金的使用、完成情况、使用效果进行监督检查。</w:t>
      </w:r>
      <w:r>
        <w:rPr>
          <w:rFonts w:hint="eastAsia" w:ascii="仿宋_GB2312" w:hAnsi="宋体" w:eastAsia="仿宋_GB2312"/>
          <w:b w:val="0"/>
          <w:bCs/>
          <w:sz w:val="32"/>
          <w:szCs w:val="32"/>
        </w:rPr>
        <w:cr/>
      </w:r>
      <w:r>
        <w:rPr>
          <w:rFonts w:hint="eastAsia" w:ascii="仿宋_GB2312" w:hAnsi="宋体" w:eastAsia="仿宋_GB2312"/>
          <w:b w:val="0"/>
          <w:bCs/>
          <w:sz w:val="32"/>
          <w:szCs w:val="32"/>
        </w:rPr>
        <w:t>　　③严格按照财务管理制度使用经费，保证项目实际支出与项目计划投入资金的用途相符，资金的拨付有完整的审批程序和手续，符合项目调剂资金或合同规定的用途，不存在超标列支相关费用，做到了专款专用，不存在截留、挤占、挪用、虚列支出。</w:t>
      </w:r>
      <w:r>
        <w:rPr>
          <w:rFonts w:hint="eastAsia" w:ascii="仿宋_GB2312" w:hAnsi="宋体" w:eastAsia="仿宋_GB2312"/>
          <w:b w:val="0"/>
          <w:bCs/>
          <w:sz w:val="32"/>
          <w:szCs w:val="32"/>
        </w:rPr>
        <w:cr/>
      </w:r>
      <w:r>
        <w:rPr>
          <w:rFonts w:hint="eastAsia" w:ascii="仿宋_GB2312" w:hAnsi="宋体" w:eastAsia="仿宋_GB2312"/>
          <w:b w:val="0"/>
          <w:bCs/>
          <w:sz w:val="32"/>
          <w:szCs w:val="32"/>
        </w:rPr>
        <w:t>　　④开展定期检查。定期对专项资金的使用情况进行监督检查,重点督查专项资金的使用进度,资金落实情况,对发观的问题,采取措施、及时纠正、追责处理、强化管理。有效杜绝了专项资金在分配使用过程中发生违纪现象，确保了项目资金的使用效率及安全性。</w:t>
      </w:r>
      <w:r>
        <w:rPr>
          <w:rFonts w:hint="eastAsia" w:ascii="仿宋_GB2312" w:hAnsi="宋体" w:eastAsia="仿宋_GB2312"/>
          <w:b w:val="0"/>
          <w:bCs/>
          <w:sz w:val="32"/>
          <w:szCs w:val="32"/>
        </w:rPr>
        <w:cr/>
      </w:r>
      <w:r>
        <w:rPr>
          <w:rFonts w:hint="eastAsia" w:ascii="仿宋_GB2312" w:hAnsi="宋体" w:eastAsia="仿宋_GB2312"/>
          <w:b w:val="0"/>
          <w:bCs/>
          <w:sz w:val="32"/>
          <w:szCs w:val="32"/>
        </w:rPr>
        <w:t>　　（3）监管情况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执行项目经办人、负责人定时汇报制。定期对项目执行及资金的使用情况进行自查，重点督查项目资金的使用进度，资金落实情况，对发现的问题采取措施，及时纠正，认真处理，强化管理，有效杜绝了项目资金在分配使用过程中违纪现象的发生，保证了项目资金的使用安全。为了规范项目资金分配及使用，我单位制定了《重点项目管理办法》，明确了项目资金管理的原则，对项目申报、项目的审核和确定、项目的实施和管理、竣工验收、结果公示和资金拨付情况、绩效管理等进行了规范。我单位成立了领导小组，明确了分管领导、牵头科室和具体负责人。建立了沟通联系机制，组织调研，明确项目任务，制定项目实施方案。严格按照程序，在机关纪委、财政部门的监督下，从专家库随机抽取评审专家，对项目进行评审，并将评审结果在网上公示。按季度对项目执行情况进行调度，定期对项目进行绩效考核，指导、督促各科室抓紧落实任务。</w:t>
      </w:r>
      <w:r>
        <w:rPr>
          <w:rFonts w:hint="eastAsia" w:ascii="仿宋_GB2312" w:hAnsi="宋体" w:eastAsia="仿宋_GB2312"/>
          <w:b w:val="0"/>
          <w:bCs/>
          <w:sz w:val="32"/>
          <w:szCs w:val="32"/>
        </w:rPr>
        <w:cr/>
      </w:r>
      <w:r>
        <w:rPr>
          <w:rFonts w:hint="eastAsia" w:ascii="仿宋_GB2312" w:hAnsi="宋体" w:eastAsia="仿宋_GB2312"/>
          <w:b w:val="0"/>
          <w:bCs/>
          <w:sz w:val="32"/>
          <w:szCs w:val="32"/>
        </w:rPr>
        <w:t>　　4.项目绩效情况分析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严格按照项目资金用途使用资金做到专款专用。在遵循国家的《采购法》《预算法》充分认识到项目资金的重要性和特殊性,以高度的责任感和使命感管好用好每一分钱,使资金的安排、使用发挥出最大效益,实现项目目标。</w:t>
      </w:r>
      <w:r>
        <w:rPr>
          <w:rFonts w:hint="eastAsia" w:ascii="仿宋_GB2312" w:hAnsi="宋体" w:eastAsia="仿宋_GB2312"/>
          <w:b w:val="0"/>
          <w:bCs/>
          <w:sz w:val="32"/>
          <w:szCs w:val="32"/>
        </w:rPr>
        <w:cr/>
      </w:r>
      <w:r>
        <w:rPr>
          <w:rFonts w:hint="eastAsia" w:ascii="仿宋_GB2312" w:hAnsi="宋体" w:eastAsia="仿宋_GB2312"/>
          <w:b w:val="0"/>
          <w:bCs/>
          <w:sz w:val="32"/>
          <w:szCs w:val="32"/>
        </w:rPr>
        <w:t>　　成本控制：依据项目预算及《内控制度》，降低成本支出，由财经会上会审核通过相关经费支出，一把手不直接分管财务，严格按照制度规定的标准执行，物品采购严格按照政府采购或者招投标程序进行采购组织项目开展，实施成本控制；</w:t>
      </w:r>
      <w:r>
        <w:rPr>
          <w:rFonts w:hint="eastAsia" w:ascii="仿宋_GB2312" w:hAnsi="宋体" w:eastAsia="仿宋_GB2312"/>
          <w:b w:val="0"/>
          <w:bCs/>
          <w:sz w:val="32"/>
          <w:szCs w:val="32"/>
        </w:rPr>
        <w:cr/>
      </w:r>
      <w:r>
        <w:rPr>
          <w:rFonts w:hint="eastAsia" w:ascii="仿宋_GB2312" w:hAnsi="宋体" w:eastAsia="仿宋_GB2312"/>
          <w:b w:val="0"/>
          <w:bCs/>
          <w:sz w:val="32"/>
          <w:szCs w:val="32"/>
        </w:rPr>
        <w:t>　　成本节约：我单位7个项目成本均未超预算，预算执行率达85.83%。</w:t>
      </w:r>
      <w:r>
        <w:rPr>
          <w:rFonts w:hint="eastAsia" w:ascii="仿宋_GB2312" w:hAnsi="宋体" w:eastAsia="仿宋_GB2312"/>
          <w:b w:val="0"/>
          <w:bCs/>
          <w:sz w:val="32"/>
          <w:szCs w:val="32"/>
        </w:rPr>
        <w:cr/>
      </w:r>
      <w:r>
        <w:rPr>
          <w:rFonts w:hint="eastAsia" w:ascii="仿宋_GB2312" w:hAnsi="宋体" w:eastAsia="仿宋_GB2312"/>
          <w:b w:val="0"/>
          <w:bCs/>
          <w:sz w:val="32"/>
          <w:szCs w:val="32"/>
        </w:rPr>
        <w:t>　　5.项目效率性分析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（1）实施进度</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我单位共有3个项目，项目实施进度已达到100%.</w:t>
      </w:r>
      <w:r>
        <w:rPr>
          <w:rFonts w:hint="eastAsia" w:ascii="仿宋_GB2312" w:hAnsi="宋体" w:eastAsia="仿宋_GB2312"/>
          <w:b w:val="0"/>
          <w:bCs/>
          <w:sz w:val="32"/>
          <w:szCs w:val="32"/>
        </w:rPr>
        <w:cr/>
      </w:r>
      <w:r>
        <w:rPr>
          <w:rFonts w:hint="eastAsia" w:ascii="仿宋_GB2312" w:hAnsi="宋体" w:eastAsia="仿宋_GB2312"/>
          <w:b w:val="0"/>
          <w:bCs/>
          <w:sz w:val="32"/>
          <w:szCs w:val="32"/>
        </w:rPr>
        <w:t>　　（2）完成质量</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我单位各项目均达到绩效目标所要求质量条件。</w:t>
      </w:r>
      <w:r>
        <w:rPr>
          <w:rFonts w:hint="eastAsia" w:ascii="仿宋_GB2312" w:hAnsi="宋体" w:eastAsia="仿宋_GB2312"/>
          <w:b w:val="0"/>
          <w:bCs/>
          <w:sz w:val="32"/>
          <w:szCs w:val="32"/>
        </w:rPr>
        <w:cr/>
      </w:r>
      <w:r>
        <w:rPr>
          <w:rFonts w:hint="eastAsia" w:ascii="仿宋_GB2312" w:hAnsi="宋体" w:eastAsia="仿宋_GB2312"/>
          <w:b w:val="0"/>
          <w:bCs/>
          <w:sz w:val="32"/>
          <w:szCs w:val="32"/>
        </w:rPr>
        <w:t>　　6.项目效益性分析</w:t>
      </w:r>
      <w:r>
        <w:rPr>
          <w:rFonts w:hint="eastAsia" w:ascii="仿宋_GB2312" w:hAnsi="宋体" w:eastAsia="仿宋_GB2312"/>
          <w:b w:val="0"/>
          <w:bCs/>
          <w:sz w:val="32"/>
          <w:szCs w:val="32"/>
        </w:rPr>
        <w:tab/>
      </w:r>
      <w:r>
        <w:rPr>
          <w:rFonts w:hint="eastAsia" w:ascii="仿宋_GB2312" w:hAnsi="宋体" w:eastAsia="仿宋_GB2312"/>
          <w:b w:val="0"/>
          <w:bCs/>
          <w:sz w:val="32"/>
          <w:szCs w:val="32"/>
        </w:rPr>
        <w:tab/>
      </w:r>
      <w:r>
        <w:rPr>
          <w:rFonts w:hint="eastAsia" w:ascii="仿宋_GB2312" w:hAnsi="宋体" w:eastAsia="仿宋_GB2312"/>
          <w:b w:val="0"/>
          <w:bCs/>
          <w:sz w:val="32"/>
          <w:szCs w:val="32"/>
        </w:rPr>
        <w:cr/>
      </w:r>
      <w:r>
        <w:rPr>
          <w:rFonts w:hint="eastAsia" w:ascii="仿宋_GB2312" w:hAnsi="宋体" w:eastAsia="仿宋_GB2312"/>
          <w:b w:val="0"/>
          <w:bCs/>
          <w:sz w:val="32"/>
          <w:szCs w:val="32"/>
        </w:rPr>
        <w:t>　　第一书记工作经费、为民办实事工作经费项目:用于第一书记开展各项工作，有利于驻村点为民办实事，营造安定和谐稳定的社会局面，着力解决农民反映的热点、难点问题，确保第一书记的各项工作顺利开展，完成相关任务，开展各项文体活动、职业技能培训、节日慰问、帮助困难群众等，营造安定和谐稳定的社会局面，确保工作队各项工作工作顺利开展，完成相关任务。</w:t>
      </w:r>
      <w:r>
        <w:rPr>
          <w:rFonts w:hint="eastAsia" w:ascii="仿宋_GB2312" w:hAnsi="宋体" w:eastAsia="仿宋_GB2312"/>
          <w:b w:val="0"/>
          <w:bCs/>
          <w:sz w:val="32"/>
          <w:szCs w:val="32"/>
        </w:rPr>
        <w:cr/>
      </w:r>
      <w:r>
        <w:rPr>
          <w:rFonts w:hint="eastAsia" w:ascii="仿宋_GB2312" w:hAnsi="宋体" w:eastAsia="仿宋_GB2312"/>
          <w:b w:val="0"/>
          <w:bCs/>
          <w:sz w:val="32"/>
          <w:szCs w:val="32"/>
        </w:rPr>
        <w:t>　　"互联网+明厨亮灶"智慧监管工作经费项目:主要用于推进“互联网+明厨亮灶”食品安全智慧监管工作，有利于做好全州食品安全城市创建工作。</w:t>
      </w:r>
      <w:r>
        <w:rPr>
          <w:rFonts w:hint="eastAsia" w:ascii="仿宋_GB2312" w:hAnsi="宋体" w:eastAsia="仿宋_GB2312"/>
          <w:b w:val="0"/>
          <w:bCs/>
          <w:sz w:val="32"/>
          <w:szCs w:val="32"/>
        </w:rPr>
        <w:cr/>
      </w:r>
      <w:r>
        <w:rPr>
          <w:rFonts w:hint="eastAsia" w:ascii="仿宋_GB2312" w:hAnsi="宋体" w:eastAsia="仿宋_GB2312"/>
          <w:b w:val="0"/>
          <w:bCs/>
          <w:sz w:val="32"/>
          <w:szCs w:val="32"/>
        </w:rPr>
        <w:t>　　自治区财政新冠肺炎疫情防控补助资金项目:主要用于用于采购新冠肺炎疫情防控医疗物资。有利于保障克州医疗物资供应紧缺情况，维护各族群众合法权益和身体健康，确保各族群众均能感受党的关心和温暖，为维护全州人民群众身体健康做出积极贡献。</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2021年度药品监管抽检经费项目:主要用于药品、化妆品等抽检及监管经费，有利于降低假冒伪劣产品制售行为，提升药品监管水平。</w:t>
      </w:r>
      <w:r>
        <w:rPr>
          <w:rFonts w:hint="eastAsia" w:ascii="仿宋_GB2312" w:hAnsi="宋体" w:eastAsia="仿宋_GB2312"/>
          <w:b w:val="0"/>
          <w:bCs/>
          <w:sz w:val="32"/>
          <w:szCs w:val="32"/>
        </w:rPr>
        <w:cr/>
      </w:r>
      <w:r>
        <w:rPr>
          <w:rFonts w:hint="eastAsia" w:ascii="仿宋_GB2312" w:hAnsi="宋体" w:eastAsia="仿宋_GB2312"/>
          <w:b w:val="0"/>
          <w:bCs/>
          <w:sz w:val="32"/>
          <w:szCs w:val="32"/>
        </w:rPr>
        <w:t>　　2020年食品安全监督管理经费项目:主要用于2021年食品安全抽检监测，顺利完成我州食品安全抽检任务州本级完成抽检任务43批次。有利于加强食品安全监管，促进食品企业健康有序发展。</w:t>
      </w:r>
      <w:r>
        <w:rPr>
          <w:rFonts w:hint="eastAsia" w:ascii="仿宋_GB2312" w:hAnsi="宋体" w:eastAsia="仿宋_GB2312"/>
          <w:b w:val="0"/>
          <w:bCs/>
          <w:sz w:val="32"/>
          <w:szCs w:val="32"/>
        </w:rPr>
        <w:cr/>
      </w:r>
      <w:r>
        <w:rPr>
          <w:rFonts w:hint="eastAsia" w:ascii="仿宋_GB2312" w:hAnsi="宋体" w:eastAsia="仿宋_GB2312"/>
          <w:b w:val="0"/>
          <w:bCs/>
          <w:sz w:val="32"/>
          <w:szCs w:val="32"/>
        </w:rPr>
        <w:t>　　2020年食品监管补助资金项目:主要用于贯彻和执行国家和自治区的食品、“两品一械”管理法律、法规和办法并监督实施；依法对辖区内食品、药品市场生产流通、使用情况进行监督管理及抽检，有利于保障各族群众饮食用药安全，加强“两品一械”企业监管力度。</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2021年食品药品监管补助项目:主要用于药品、化妆品等抽检及监管经费，有利于降低假冒伪劣产品制售行为，提升药品监管水平。</w:t>
      </w:r>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资产管理情况</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本单位2021年初资产合计数为1268.69万元，年末资产合计数为1049.20万元。</w:t>
      </w:r>
      <w:r>
        <w:rPr>
          <w:rFonts w:hint="eastAsia" w:ascii="仿宋_GB2312" w:hAnsi="宋体" w:eastAsia="仿宋_GB2312"/>
          <w:b w:val="0"/>
          <w:bCs/>
          <w:sz w:val="32"/>
          <w:szCs w:val="32"/>
        </w:rPr>
        <w:cr/>
      </w:r>
      <w:r>
        <w:rPr>
          <w:rFonts w:hint="eastAsia" w:ascii="仿宋_GB2312" w:hAnsi="宋体" w:eastAsia="仿宋_GB2312"/>
          <w:b w:val="0"/>
          <w:bCs/>
          <w:sz w:val="32"/>
          <w:szCs w:val="32"/>
        </w:rPr>
        <w:t>　　（一）资产管理体制和制度建设方面</w:t>
      </w:r>
      <w:r>
        <w:rPr>
          <w:rFonts w:hint="eastAsia" w:ascii="仿宋_GB2312" w:hAnsi="宋体" w:eastAsia="仿宋_GB2312"/>
          <w:b w:val="0"/>
          <w:bCs/>
          <w:sz w:val="32"/>
          <w:szCs w:val="32"/>
        </w:rPr>
        <w:cr/>
      </w:r>
      <w:r>
        <w:rPr>
          <w:rFonts w:hint="eastAsia" w:ascii="仿宋_GB2312" w:hAnsi="宋体" w:eastAsia="仿宋_GB2312"/>
          <w:b w:val="0"/>
          <w:bCs/>
          <w:sz w:val="32"/>
          <w:szCs w:val="32"/>
        </w:rPr>
        <w:t>　　建立健全资产管理制度，合理配备并节约、有效使用资产，提高资产使用效率，保障资产的安全和完整。管理和使用坚持统一政策、统一领导、分级管理、职责到人、物尽其用的原则。办公室负责对单位资产管理进行指导和监督，对纳入政府采购范围的资产进行统一购置。成立了由一把手负总责的“资产管理领导小组”，具体负责本单位资产的采购、分配、清查，以及资产使用、维护过程中的监督任务。各科室确定专人负责资产的日常管理工作，包括资产的登记、统计、维护、保管等，并对所管资产的安全完整负有职责。资产管理人员应相对稳定，工作调动时务必办理交接手续。</w:t>
      </w:r>
      <w:r>
        <w:rPr>
          <w:rFonts w:hint="eastAsia" w:ascii="仿宋_GB2312" w:hAnsi="宋体" w:eastAsia="仿宋_GB2312"/>
          <w:b w:val="0"/>
          <w:bCs/>
          <w:sz w:val="32"/>
          <w:szCs w:val="32"/>
        </w:rPr>
        <w:cr/>
      </w:r>
      <w:r>
        <w:rPr>
          <w:rFonts w:hint="eastAsia" w:ascii="仿宋_GB2312" w:hAnsi="宋体" w:eastAsia="仿宋_GB2312"/>
          <w:b w:val="0"/>
          <w:bCs/>
          <w:sz w:val="32"/>
          <w:szCs w:val="32"/>
        </w:rPr>
        <w:t>　　（二）运行机制和管理方式</w:t>
      </w:r>
      <w:r>
        <w:rPr>
          <w:rFonts w:hint="eastAsia" w:ascii="仿宋_GB2312" w:hAnsi="宋体" w:eastAsia="仿宋_GB2312"/>
          <w:b w:val="0"/>
          <w:bCs/>
          <w:sz w:val="32"/>
          <w:szCs w:val="32"/>
        </w:rPr>
        <w:cr/>
      </w:r>
      <w:r>
        <w:rPr>
          <w:rFonts w:hint="eastAsia" w:ascii="仿宋_GB2312" w:hAnsi="宋体" w:eastAsia="仿宋_GB2312"/>
          <w:b w:val="0"/>
          <w:bCs/>
          <w:sz w:val="32"/>
          <w:szCs w:val="32"/>
        </w:rPr>
        <w:t>　　资产管理由财务部门进行价值核算并设置专人进行资产实物卡片管理及使用状况监督；办公设备由办公室设置专人进行实物卡片管理及使用状况监督。我单位建立了严格的资产交付使用验收制度。资产采购根据合同、供应商发货单等对所购资产的品种、规格、数量、质量、技术要求及其他资料进行验收。未通过验收的不合格资产，不得接收，务必按照合同等有关规定办理退换货或其他弥补措施。</w:t>
      </w:r>
      <w:r>
        <w:rPr>
          <w:rFonts w:hint="eastAsia" w:ascii="仿宋_GB2312" w:hAnsi="宋体" w:eastAsia="仿宋_GB2312"/>
          <w:b w:val="0"/>
          <w:bCs/>
          <w:sz w:val="32"/>
          <w:szCs w:val="32"/>
        </w:rPr>
        <w:cr/>
      </w:r>
      <w:r>
        <w:rPr>
          <w:rFonts w:hint="eastAsia" w:ascii="仿宋_GB2312" w:hAnsi="宋体" w:eastAsia="仿宋_GB2312"/>
          <w:b w:val="0"/>
          <w:bCs/>
          <w:sz w:val="32"/>
          <w:szCs w:val="32"/>
        </w:rPr>
        <w:t>　　（三）信息化建设方面</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通过用行政事业单位资产管理软件严格管理资产卡片，包括卡片的增加、删除、查询、打印、汇总等。正确、全面、及时地记录资产的增加、减少、使用等状况，真实地反映和监督资产的增减变动和实际状况，建立健全了资产账簿体系。</w:t>
      </w:r>
      <w:r>
        <w:rPr>
          <w:rFonts w:hint="eastAsia" w:ascii="仿宋_GB2312" w:hAnsi="宋体" w:eastAsia="仿宋_GB2312"/>
          <w:b w:val="0"/>
          <w:bCs/>
          <w:sz w:val="32"/>
          <w:szCs w:val="32"/>
        </w:rPr>
        <w:cr/>
      </w:r>
      <w:r>
        <w:rPr>
          <w:rFonts w:hint="eastAsia" w:ascii="仿宋_GB2312" w:hAnsi="宋体" w:eastAsia="仿宋_GB2312"/>
          <w:b w:val="0"/>
          <w:bCs/>
          <w:sz w:val="32"/>
          <w:szCs w:val="32"/>
        </w:rPr>
        <w:t>　　（四）流动资产的管理</w:t>
      </w:r>
      <w:r>
        <w:rPr>
          <w:rFonts w:hint="eastAsia" w:ascii="仿宋_GB2312" w:hAnsi="宋体" w:eastAsia="仿宋_GB2312"/>
          <w:b w:val="0"/>
          <w:bCs/>
          <w:sz w:val="32"/>
          <w:szCs w:val="32"/>
        </w:rPr>
        <w:cr/>
      </w:r>
      <w:r>
        <w:rPr>
          <w:rFonts w:hint="eastAsia" w:ascii="仿宋_GB2312" w:hAnsi="宋体" w:eastAsia="仿宋_GB2312"/>
          <w:b w:val="0"/>
          <w:bCs/>
          <w:sz w:val="32"/>
          <w:szCs w:val="32"/>
        </w:rPr>
        <w:t>　　流动资产严格按照我单位内控体系要求进行管理，无备用金，单位货币资金管理由财务科每月与银行进行对帐，并填写银行余额调节表。</w:t>
      </w:r>
      <w:r>
        <w:rPr>
          <w:rFonts w:hint="eastAsia" w:ascii="仿宋_GB2312" w:hAnsi="宋体" w:eastAsia="仿宋_GB2312"/>
          <w:b w:val="0"/>
          <w:bCs/>
          <w:sz w:val="32"/>
          <w:szCs w:val="32"/>
        </w:rPr>
        <w:cr/>
      </w:r>
      <w:r>
        <w:rPr>
          <w:rFonts w:hint="eastAsia" w:ascii="仿宋_GB2312" w:hAnsi="宋体" w:eastAsia="仿宋_GB2312"/>
          <w:b w:val="0"/>
          <w:bCs/>
          <w:sz w:val="32"/>
          <w:szCs w:val="32"/>
        </w:rPr>
        <w:t>　　（五）固定资产的管理</w:t>
      </w:r>
      <w:r>
        <w:rPr>
          <w:rFonts w:hint="eastAsia" w:ascii="仿宋_GB2312" w:hAnsi="宋体" w:eastAsia="仿宋_GB2312"/>
          <w:b w:val="0"/>
          <w:bCs/>
          <w:sz w:val="32"/>
          <w:szCs w:val="32"/>
        </w:rPr>
        <w:cr/>
      </w:r>
      <w:r>
        <w:rPr>
          <w:rFonts w:hint="eastAsia" w:ascii="仿宋_GB2312" w:hAnsi="宋体" w:eastAsia="仿宋_GB2312"/>
          <w:b w:val="0"/>
          <w:bCs/>
          <w:sz w:val="32"/>
          <w:szCs w:val="32"/>
        </w:rPr>
        <w:t>　　本单位的资产管理详细按照的相关要求执行,符合财政部门要求。每年年末定时对我单位的固定资产进行盘点，对盘点过程中发生的盈亏，进行原因查找，并上报局党组研究决策，再上报财政国有资产管理科进行申报再行处理。</w:t>
      </w:r>
      <w:r>
        <w:rPr>
          <w:rFonts w:hint="eastAsia" w:ascii="仿宋_GB2312" w:hAnsi="宋体" w:eastAsia="仿宋_GB2312"/>
          <w:b w:val="0"/>
          <w:bCs/>
          <w:sz w:val="32"/>
          <w:szCs w:val="32"/>
        </w:rPr>
        <w:cr/>
      </w:r>
      <w:r>
        <w:rPr>
          <w:rFonts w:hint="eastAsia" w:ascii="仿宋_GB2312" w:hAnsi="宋体" w:eastAsia="仿宋_GB2312"/>
          <w:b w:val="0"/>
          <w:bCs/>
          <w:sz w:val="32"/>
          <w:szCs w:val="32"/>
        </w:rPr>
        <w:t>　　（六）固定资产利用率</w:t>
      </w:r>
      <w:r>
        <w:rPr>
          <w:rFonts w:hint="eastAsia" w:ascii="仿宋_GB2312" w:hAnsi="宋体" w:eastAsia="仿宋_GB2312"/>
          <w:b w:val="0"/>
          <w:bCs/>
          <w:sz w:val="32"/>
          <w:szCs w:val="32"/>
        </w:rPr>
        <w:cr/>
      </w:r>
      <w:r>
        <w:rPr>
          <w:rFonts w:hint="eastAsia" w:ascii="仿宋_GB2312" w:hAnsi="宋体" w:eastAsia="仿宋_GB2312"/>
          <w:b w:val="0"/>
          <w:bCs/>
          <w:sz w:val="32"/>
          <w:szCs w:val="32"/>
        </w:rPr>
        <w:t>　　截止本年度固定资产账面净值799.54万元，年末实际在用固定资产799.54万元，固定资产利用率为100%。</w:t>
      </w:r>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部门单位整体支出绩效情况</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部门单位整体支出共设置一级指标3个，二级指标8个，三级指标15个，其中已完成三级指标14个，指标完成率为93.33%。</w:t>
      </w:r>
      <w:r>
        <w:rPr>
          <w:rFonts w:hint="eastAsia" w:ascii="仿宋_GB2312" w:hAnsi="宋体" w:eastAsia="仿宋_GB2312"/>
          <w:b w:val="0"/>
          <w:bCs/>
          <w:sz w:val="32"/>
          <w:szCs w:val="32"/>
        </w:rPr>
        <w:cr/>
      </w:r>
      <w:r>
        <w:rPr>
          <w:rFonts w:hint="eastAsia" w:ascii="仿宋_GB2312" w:hAnsi="宋体" w:eastAsia="仿宋_GB2312"/>
          <w:b w:val="0"/>
          <w:bCs/>
          <w:sz w:val="32"/>
          <w:szCs w:val="32"/>
        </w:rPr>
        <w:t>　　1.产出指标完成情况分析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（1）数量指标</w:t>
      </w:r>
      <w:r>
        <w:rPr>
          <w:rFonts w:hint="eastAsia" w:ascii="仿宋_GB2312" w:hAnsi="宋体" w:eastAsia="仿宋_GB2312"/>
          <w:b w:val="0"/>
          <w:bCs/>
          <w:sz w:val="32"/>
          <w:szCs w:val="32"/>
        </w:rPr>
        <w:cr/>
      </w:r>
      <w:r>
        <w:rPr>
          <w:rFonts w:hint="eastAsia" w:ascii="仿宋_GB2312" w:hAnsi="宋体" w:eastAsia="仿宋_GB2312"/>
          <w:b w:val="0"/>
          <w:bCs/>
          <w:sz w:val="32"/>
          <w:szCs w:val="32"/>
        </w:rPr>
        <w:t>　　“保障人员人数”指标：预期指标值为=149人，实际完成指标值为149人，指标完成率为100%。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“保障车辆数”指标：预期指标值为=10辆，实际完成指标值为=10辆，指标完成率为100%。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“监督检查次数”指标：预期指标值为=90次，实际完成指标值为90次，指标完成率为100%。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“抽查企业数量”指标：预期指标值为&gt;=55次，实际完成指标值为55次，指标完成率为100%。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（2）质量指标</w:t>
      </w:r>
      <w:r>
        <w:rPr>
          <w:rFonts w:hint="eastAsia" w:ascii="仿宋_GB2312" w:hAnsi="宋体" w:eastAsia="仿宋_GB2312"/>
          <w:b w:val="0"/>
          <w:bCs/>
          <w:sz w:val="32"/>
          <w:szCs w:val="32"/>
        </w:rPr>
        <w:cr/>
      </w:r>
      <w:r>
        <w:rPr>
          <w:rFonts w:hint="eastAsia" w:ascii="仿宋_GB2312" w:hAnsi="宋体" w:eastAsia="仿宋_GB2312"/>
          <w:b w:val="0"/>
          <w:bCs/>
          <w:sz w:val="32"/>
          <w:szCs w:val="32"/>
        </w:rPr>
        <w:t>　　“绩效考核合格率”指标：预期指标值为&gt;=90%，实际完成指标值为90%，指标完成率为100%。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“监督检查工作完成率”指标：预期指标值为&gt;=90%，实际完成指标值为90%，指标完成率为100%。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（3）时效指标</w:t>
      </w:r>
      <w:r>
        <w:rPr>
          <w:rFonts w:hint="eastAsia" w:ascii="仿宋_GB2312" w:hAnsi="宋体" w:eastAsia="仿宋_GB2312"/>
          <w:b w:val="0"/>
          <w:bCs/>
          <w:sz w:val="32"/>
          <w:szCs w:val="32"/>
        </w:rPr>
        <w:cr/>
      </w:r>
      <w:r>
        <w:rPr>
          <w:rFonts w:hint="eastAsia" w:ascii="仿宋_GB2312" w:hAnsi="宋体" w:eastAsia="仿宋_GB2312"/>
          <w:b w:val="0"/>
          <w:bCs/>
          <w:sz w:val="32"/>
          <w:szCs w:val="32"/>
        </w:rPr>
        <w:t>　　“各项工作完成及时率”指标：预期指标值为=100%，实际完成指标值为100%，指标完成率为100%。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（4）成本指标</w:t>
      </w:r>
      <w:r>
        <w:rPr>
          <w:rFonts w:hint="eastAsia" w:ascii="仿宋_GB2312" w:hAnsi="宋体" w:eastAsia="仿宋_GB2312"/>
          <w:b w:val="0"/>
          <w:bCs/>
          <w:sz w:val="32"/>
          <w:szCs w:val="32"/>
        </w:rPr>
        <w:cr/>
      </w:r>
      <w:r>
        <w:rPr>
          <w:rFonts w:hint="eastAsia" w:ascii="仿宋_GB2312" w:hAnsi="宋体" w:eastAsia="仿宋_GB2312"/>
          <w:b w:val="0"/>
          <w:bCs/>
          <w:sz w:val="32"/>
          <w:szCs w:val="32"/>
        </w:rPr>
        <w:t>　　“人员经费”指标：预期指标值为=1684.4万元，实际完成指标值为1684.4万元，指标完成率为100%。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公用经费”指标：预期指标值为=380.38万元，实际完成指标值为375.22万元，指标完成率为98.64%。偏差原因：2021年在职人员福利费及工会费未使用完毕，因疫情原因减少人员活动次数。改进措施：进一步加强预算管理，继续完善绩效指标，提高整体绩效目标质量。</w:t>
      </w:r>
      <w:r>
        <w:rPr>
          <w:rFonts w:hint="eastAsia" w:ascii="仿宋_GB2312" w:hAnsi="宋体" w:eastAsia="仿宋_GB2312"/>
          <w:b w:val="0"/>
          <w:bCs/>
          <w:sz w:val="32"/>
          <w:szCs w:val="32"/>
        </w:rPr>
        <w:cr/>
      </w:r>
      <w:r>
        <w:rPr>
          <w:rFonts w:hint="eastAsia" w:ascii="仿宋_GB2312" w:hAnsi="宋体" w:eastAsia="仿宋_GB2312"/>
          <w:b w:val="0"/>
          <w:bCs/>
          <w:sz w:val="32"/>
          <w:szCs w:val="32"/>
        </w:rPr>
        <w:t>　　“项目经费”指标：预期指标值为=106万元，实际完成指标值为106万元，指标完成率为100%。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从以上指标完成情况成本指标达到成本控制及改善目标</w:t>
      </w:r>
      <w:r>
        <w:rPr>
          <w:rFonts w:hint="eastAsia" w:ascii="仿宋_GB2312" w:hAnsi="宋体" w:eastAsia="仿宋_GB2312"/>
          <w:b w:val="0"/>
          <w:bCs/>
          <w:sz w:val="32"/>
          <w:szCs w:val="32"/>
        </w:rPr>
        <w:cr/>
      </w:r>
      <w:r>
        <w:rPr>
          <w:rFonts w:hint="eastAsia" w:ascii="仿宋_GB2312" w:hAnsi="宋体" w:eastAsia="仿宋_GB2312"/>
          <w:b w:val="0"/>
          <w:bCs/>
          <w:sz w:val="32"/>
          <w:szCs w:val="32"/>
        </w:rPr>
        <w:t>　　2.效益指标完成情况分析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（1）经济效益</w:t>
      </w:r>
      <w:r>
        <w:rPr>
          <w:rFonts w:hint="eastAsia" w:ascii="仿宋_GB2312" w:hAnsi="宋体" w:eastAsia="仿宋_GB2312"/>
          <w:b w:val="0"/>
          <w:bCs/>
          <w:sz w:val="32"/>
          <w:szCs w:val="32"/>
        </w:rPr>
        <w:cr/>
      </w:r>
      <w:r>
        <w:rPr>
          <w:rFonts w:hint="eastAsia" w:ascii="仿宋_GB2312" w:hAnsi="宋体" w:eastAsia="仿宋_GB2312"/>
          <w:b w:val="0"/>
          <w:bCs/>
          <w:sz w:val="32"/>
          <w:szCs w:val="32"/>
        </w:rPr>
        <w:t>　　“挽回经济损失”指标：预期指标值为&gt;=15万元，实际完成指标值为15万元，指标完成率为100%。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（2）社会效益</w:t>
      </w:r>
      <w:r>
        <w:rPr>
          <w:rFonts w:hint="eastAsia" w:ascii="仿宋_GB2312" w:hAnsi="宋体" w:eastAsia="仿宋_GB2312"/>
          <w:b w:val="0"/>
          <w:bCs/>
          <w:sz w:val="32"/>
          <w:szCs w:val="32"/>
        </w:rPr>
        <w:cr/>
      </w:r>
      <w:r>
        <w:rPr>
          <w:rFonts w:hint="eastAsia" w:ascii="仿宋_GB2312" w:hAnsi="宋体" w:eastAsia="仿宋_GB2312"/>
          <w:b w:val="0"/>
          <w:bCs/>
          <w:sz w:val="32"/>
          <w:szCs w:val="32"/>
        </w:rPr>
        <w:t>　　“重大安全事故发生率（%）”指标：预期指标值为0%，实际完成指标值为0%，指标完成率为100%。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（3）生态效益</w:t>
      </w:r>
      <w:r>
        <w:rPr>
          <w:rFonts w:hint="eastAsia" w:ascii="仿宋_GB2312" w:hAnsi="宋体" w:eastAsia="仿宋_GB2312"/>
          <w:b w:val="0"/>
          <w:bCs/>
          <w:sz w:val="32"/>
          <w:szCs w:val="32"/>
        </w:rPr>
        <w:cr/>
      </w:r>
      <w:r>
        <w:rPr>
          <w:rFonts w:hint="eastAsia" w:ascii="仿宋_GB2312" w:hAnsi="宋体" w:eastAsia="仿宋_GB2312"/>
          <w:b w:val="0"/>
          <w:bCs/>
          <w:sz w:val="32"/>
          <w:szCs w:val="32"/>
        </w:rPr>
        <w:t>　　（4）可持续影响</w:t>
      </w:r>
      <w:r>
        <w:rPr>
          <w:rFonts w:hint="eastAsia" w:ascii="仿宋_GB2312" w:hAnsi="宋体" w:eastAsia="仿宋_GB2312"/>
          <w:b w:val="0"/>
          <w:bCs/>
          <w:sz w:val="32"/>
          <w:szCs w:val="32"/>
        </w:rPr>
        <w:cr/>
      </w:r>
      <w:r>
        <w:rPr>
          <w:rFonts w:hint="eastAsia" w:ascii="仿宋_GB2312" w:hAnsi="宋体" w:eastAsia="仿宋_GB2312"/>
          <w:b w:val="0"/>
          <w:bCs/>
          <w:sz w:val="32"/>
          <w:szCs w:val="32"/>
        </w:rPr>
        <w:t>　　“加强食品监管，促进市场健康发展”指标：预期指标值为有效促进，实际完成指标值为有效促进，指标完成率为100%。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3.满意度指标完成情况分析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“受益群众满意度”指标：预期指标值为&gt;=95%，实际完成指标值为95%，指标完成率为100%。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“受益工作人员满意度”指标：预期指标值为&gt;=95%，实际完成指标值为95%，指标完成率为100%。</w:t>
      </w:r>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存在的主要问题</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1.部分业务人员绩效管理意识有待增强，未能全面深入认识理解绩效管理工作的意义。绩效管理经验不足，预算绩效管理工作有待进一步落实。</w:t>
      </w:r>
      <w:r>
        <w:rPr>
          <w:rFonts w:hint="eastAsia" w:ascii="仿宋_GB2312" w:hAnsi="宋体" w:eastAsia="仿宋_GB2312"/>
          <w:b w:val="0"/>
          <w:bCs/>
          <w:sz w:val="32"/>
          <w:szCs w:val="32"/>
        </w:rPr>
        <w:cr/>
      </w:r>
      <w:r>
        <w:rPr>
          <w:rFonts w:hint="eastAsia" w:ascii="仿宋_GB2312" w:hAnsi="宋体" w:eastAsia="仿宋_GB2312"/>
          <w:b w:val="0"/>
          <w:bCs/>
          <w:sz w:val="32"/>
          <w:szCs w:val="32"/>
        </w:rPr>
        <w:t>　　2.绩效指标的明确性、可衡量性、相关性还需进一步提升。预算精细化管理还需完善，预算编制管理水平仍有进一步提升的空间。</w:t>
      </w:r>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改进措施和建议</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pPr>
      <w:r>
        <w:rPr>
          <w:rFonts w:hint="eastAsia" w:ascii="仿宋_GB2312" w:hAnsi="宋体" w:eastAsia="仿宋_GB2312"/>
          <w:b w:val="0"/>
          <w:bCs/>
          <w:sz w:val="32"/>
          <w:szCs w:val="32"/>
        </w:rPr>
        <w:t>（一）改进措施</w:t>
      </w:r>
      <w:r>
        <w:rPr>
          <w:rFonts w:hint="eastAsia" w:ascii="仿宋_GB2312" w:hAnsi="宋体" w:eastAsia="仿宋_GB2312"/>
          <w:b w:val="0"/>
          <w:bCs/>
          <w:sz w:val="32"/>
          <w:szCs w:val="32"/>
        </w:rPr>
        <w:cr/>
      </w:r>
      <w:r>
        <w:rPr>
          <w:rFonts w:hint="eastAsia" w:ascii="仿宋_GB2312" w:hAnsi="宋体" w:eastAsia="仿宋_GB2312"/>
          <w:b w:val="0"/>
          <w:bCs/>
          <w:sz w:val="32"/>
          <w:szCs w:val="32"/>
        </w:rPr>
        <w:t>　　1.继续加大绩效工作宣传力度，强化绩效理念。</w:t>
      </w:r>
      <w:r>
        <w:rPr>
          <w:rFonts w:hint="eastAsia" w:ascii="仿宋_GB2312" w:hAnsi="宋体" w:eastAsia="仿宋_GB2312"/>
          <w:b w:val="0"/>
          <w:bCs/>
          <w:sz w:val="32"/>
          <w:szCs w:val="32"/>
        </w:rPr>
        <w:cr/>
      </w:r>
      <w:r>
        <w:rPr>
          <w:rFonts w:hint="eastAsia" w:ascii="仿宋_GB2312" w:hAnsi="宋体" w:eastAsia="仿宋_GB2312"/>
          <w:b w:val="0"/>
          <w:bCs/>
          <w:sz w:val="32"/>
          <w:szCs w:val="32"/>
        </w:rPr>
        <w:t>　　2.继续完善绩效指标，提高整体绩效目标质量。提升预算精细化管理水平。</w:t>
      </w:r>
      <w:r>
        <w:rPr>
          <w:rFonts w:hint="eastAsia" w:ascii="仿宋_GB2312" w:hAnsi="宋体" w:eastAsia="仿宋_GB2312"/>
          <w:b w:val="0"/>
          <w:bCs/>
          <w:sz w:val="32"/>
          <w:szCs w:val="32"/>
        </w:rPr>
        <w:cr/>
      </w:r>
      <w:r>
        <w:rPr>
          <w:rFonts w:hint="eastAsia" w:ascii="仿宋_GB2312" w:hAnsi="宋体" w:eastAsia="仿宋_GB2312"/>
          <w:b w:val="0"/>
          <w:bCs/>
          <w:sz w:val="32"/>
          <w:szCs w:val="32"/>
        </w:rPr>
        <w:t>　　3.继续完善预算绩效管理相关工作制度，建立全过程预算绩效管理链条，有效贯彻落实全面实施绩效管理的精神。</w:t>
      </w:r>
      <w:r>
        <w:rPr>
          <w:rFonts w:hint="eastAsia" w:ascii="仿宋_GB2312" w:hAnsi="宋体" w:eastAsia="仿宋_GB2312"/>
          <w:b w:val="0"/>
          <w:bCs/>
          <w:sz w:val="32"/>
          <w:szCs w:val="32"/>
        </w:rPr>
        <w:cr/>
      </w:r>
      <w:r>
        <w:rPr>
          <w:rFonts w:hint="eastAsia" w:ascii="仿宋_GB2312" w:hAnsi="宋体" w:eastAsia="仿宋_GB2312"/>
          <w:b w:val="0"/>
          <w:bCs/>
          <w:sz w:val="32"/>
          <w:szCs w:val="32"/>
        </w:rPr>
        <w:t>　　（二）建议</w:t>
      </w:r>
      <w:r>
        <w:rPr>
          <w:rFonts w:hint="eastAsia" w:ascii="仿宋_GB2312" w:hAnsi="宋体" w:eastAsia="仿宋_GB2312"/>
          <w:b w:val="0"/>
          <w:bCs/>
          <w:sz w:val="32"/>
          <w:szCs w:val="32"/>
        </w:rPr>
        <w:cr/>
      </w:r>
      <w:r>
        <w:rPr>
          <w:rFonts w:hint="eastAsia" w:ascii="仿宋_GB2312" w:hAnsi="宋体" w:eastAsia="仿宋_GB2312"/>
          <w:b w:val="0"/>
          <w:bCs/>
          <w:sz w:val="32"/>
          <w:szCs w:val="32"/>
        </w:rPr>
        <w:t>　　1.加强预算绩效目标管理工作。明确预算项目绩效目标编制要求，分类别建立科学合理、细化量化、可比可测预算绩效指标体系，突出结果导向，重点考核实绩。</w:t>
      </w:r>
      <w:r>
        <w:rPr>
          <w:rFonts w:hint="eastAsia" w:ascii="仿宋_GB2312" w:hAnsi="宋体" w:eastAsia="仿宋_GB2312"/>
          <w:b w:val="0"/>
          <w:bCs/>
          <w:sz w:val="32"/>
          <w:szCs w:val="32"/>
        </w:rPr>
        <w:cr/>
      </w:r>
      <w:r>
        <w:rPr>
          <w:rFonts w:hint="eastAsia" w:ascii="仿宋_GB2312" w:hAnsi="宋体" w:eastAsia="仿宋_GB2312"/>
          <w:b w:val="0"/>
          <w:bCs/>
          <w:sz w:val="32"/>
          <w:szCs w:val="32"/>
        </w:rPr>
        <w:t>　　2.加强绩效业务学习及培训，提高业务人员绩效管理意识，进一步加强预算绩效管理工作，优化项目支出绩效指标体系，完善预算绩效管理制度，有效推动我单位下一年度预算绩效管理工作常态化、规范化。</w:t>
      </w:r>
      <w:r>
        <w:rPr>
          <w:rFonts w:hint="eastAsia" w:ascii="仿宋_GB2312" w:hAnsi="宋体" w:eastAsia="仿宋_GB2312"/>
          <w:b w:val="0"/>
          <w:bCs/>
          <w:sz w:val="32"/>
          <w:szCs w:val="32"/>
        </w:rPr>
        <w:cr/>
      </w:r>
      <w:r>
        <w:rPr>
          <w:rFonts w:hint="eastAsia" w:ascii="仿宋_GB2312" w:hAnsi="宋体" w:eastAsia="仿宋_GB2312"/>
          <w:b w:val="0"/>
          <w:bCs/>
          <w:sz w:val="32"/>
          <w:szCs w:val="32"/>
        </w:rPr>
        <w:t>　　3.通过强化专业培训、学习考察、业务交流等措施，帮助和促进本单位现有人员提高绩效管理业务水平、实际工作能力。强化预算绩效执行工作，指定专人负责预算执行监督管理，进一步推动预算绩效管理工作。</w:t>
      </w:r>
      <w:r>
        <w:rPr>
          <w:rFonts w:hint="eastAsia" w:ascii="仿宋_GB2312" w:hAnsi="宋体" w:eastAsia="仿宋_GB2312"/>
          <w:b w:val="0"/>
          <w:bCs/>
          <w:sz w:val="32"/>
          <w:szCs w:val="32"/>
        </w:rPr>
        <w:cr/>
      </w:r>
      <w:r>
        <w:rPr>
          <w:rFonts w:hint="eastAsia" w:ascii="仿宋_GB2312" w:hAnsi="宋体" w:eastAsia="仿宋_GB2312"/>
          <w:b w:val="0"/>
          <w:bCs/>
          <w:sz w:val="32"/>
          <w:szCs w:val="32"/>
        </w:rPr>
        <w:t>　　4.借助第三方专业机构力量，贯彻落实全面预算绩效管理工作，建立全过程预算绩效管理链条，将绩效各个环节紧密贯通。</w:t>
      </w:r>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_GBK">
    <w:altName w:val="微软雅黑"/>
    <w:panose1 w:val="00000000000000000000"/>
    <w:charset w:val="86"/>
    <w:family w:val="script"/>
    <w:pitch w:val="default"/>
    <w:sig w:usb0="00000000" w:usb1="0000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9703BB8"/>
    <w:multiLevelType w:val="multilevel"/>
    <w:tmpl w:val="69703BB8"/>
    <w:lvl w:ilvl="0" w:tentative="0">
      <w:start w:val="1"/>
      <w:numFmt w:val="japaneseCounting"/>
      <w:lvlText w:val="%1、"/>
      <w:lvlJc w:val="left"/>
      <w:pPr>
        <w:ind w:left="1368" w:hanging="720"/>
      </w:pPr>
      <w:rPr>
        <w:rFonts w:hint="default"/>
      </w:rPr>
    </w:lvl>
    <w:lvl w:ilvl="1" w:tentative="0">
      <w:start w:val="1"/>
      <w:numFmt w:val="lowerLetter"/>
      <w:lvlText w:val="%2)"/>
      <w:lvlJc w:val="left"/>
      <w:pPr>
        <w:ind w:left="1488" w:hanging="420"/>
      </w:pPr>
    </w:lvl>
    <w:lvl w:ilvl="2" w:tentative="0">
      <w:start w:val="1"/>
      <w:numFmt w:val="lowerRoman"/>
      <w:lvlText w:val="%3."/>
      <w:lvlJc w:val="right"/>
      <w:pPr>
        <w:ind w:left="1908" w:hanging="420"/>
      </w:pPr>
    </w:lvl>
    <w:lvl w:ilvl="3" w:tentative="0">
      <w:start w:val="1"/>
      <w:numFmt w:val="decimal"/>
      <w:lvlText w:val="%4."/>
      <w:lvlJc w:val="left"/>
      <w:pPr>
        <w:ind w:left="2328" w:hanging="420"/>
      </w:pPr>
    </w:lvl>
    <w:lvl w:ilvl="4" w:tentative="0">
      <w:start w:val="1"/>
      <w:numFmt w:val="lowerLetter"/>
      <w:lvlText w:val="%5)"/>
      <w:lvlJc w:val="left"/>
      <w:pPr>
        <w:ind w:left="2748" w:hanging="420"/>
      </w:pPr>
    </w:lvl>
    <w:lvl w:ilvl="5" w:tentative="0">
      <w:start w:val="1"/>
      <w:numFmt w:val="lowerRoman"/>
      <w:lvlText w:val="%6."/>
      <w:lvlJc w:val="right"/>
      <w:pPr>
        <w:ind w:left="3168" w:hanging="420"/>
      </w:pPr>
    </w:lvl>
    <w:lvl w:ilvl="6" w:tentative="0">
      <w:start w:val="1"/>
      <w:numFmt w:val="decimal"/>
      <w:lvlText w:val="%7."/>
      <w:lvlJc w:val="left"/>
      <w:pPr>
        <w:ind w:left="3588" w:hanging="420"/>
      </w:pPr>
    </w:lvl>
    <w:lvl w:ilvl="7" w:tentative="0">
      <w:start w:val="1"/>
      <w:numFmt w:val="lowerLetter"/>
      <w:lvlText w:val="%8)"/>
      <w:lvlJc w:val="left"/>
      <w:pPr>
        <w:ind w:left="4008" w:hanging="420"/>
      </w:pPr>
    </w:lvl>
    <w:lvl w:ilvl="8" w:tentative="0">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3604"/>
    <w:rsid w:val="001C7F2C"/>
    <w:rsid w:val="00340E58"/>
    <w:rsid w:val="003E45AA"/>
    <w:rsid w:val="00584481"/>
    <w:rsid w:val="00653C1A"/>
    <w:rsid w:val="007B51CE"/>
    <w:rsid w:val="007E47F4"/>
    <w:rsid w:val="008F0DCE"/>
    <w:rsid w:val="00916058"/>
    <w:rsid w:val="00AB72C1"/>
    <w:rsid w:val="00C10BB4"/>
    <w:rsid w:val="00CE0C6C"/>
    <w:rsid w:val="00DB647F"/>
    <w:rsid w:val="00DC7E33"/>
    <w:rsid w:val="00E8616A"/>
    <w:rsid w:val="00EB3604"/>
    <w:rsid w:val="020B07BA"/>
    <w:rsid w:val="02656D15"/>
    <w:rsid w:val="06696209"/>
    <w:rsid w:val="0D1922F1"/>
    <w:rsid w:val="108622B3"/>
    <w:rsid w:val="1438599A"/>
    <w:rsid w:val="14423FBD"/>
    <w:rsid w:val="200F4073"/>
    <w:rsid w:val="24B86128"/>
    <w:rsid w:val="2CFB7B6E"/>
    <w:rsid w:val="4405304E"/>
    <w:rsid w:val="51C70EA9"/>
    <w:rsid w:val="54F842B6"/>
    <w:rsid w:val="656071F2"/>
    <w:rsid w:val="6BF1756B"/>
    <w:rsid w:val="6F5E1AA3"/>
    <w:rsid w:val="7D4E4CCC"/>
    <w:rsid w:val="7F200B83"/>
    <w:rsid w:val="7F5D58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Strong"/>
    <w:basedOn w:val="5"/>
    <w:qFormat/>
    <w:uiPriority w:val="0"/>
    <w:rPr>
      <w:b/>
      <w:bCs/>
    </w:rPr>
  </w:style>
  <w:style w:type="character" w:customStyle="1" w:styleId="7">
    <w:name w:val="页眉 字符"/>
    <w:basedOn w:val="5"/>
    <w:link w:val="3"/>
    <w:qFormat/>
    <w:uiPriority w:val="99"/>
    <w:rPr>
      <w:sz w:val="18"/>
      <w:szCs w:val="18"/>
    </w:rPr>
  </w:style>
  <w:style w:type="character" w:customStyle="1" w:styleId="8">
    <w:name w:val="页脚 字符"/>
    <w:basedOn w:val="5"/>
    <w:link w:val="2"/>
    <w:qFormat/>
    <w:uiPriority w:val="99"/>
    <w:rPr>
      <w:sz w:val="18"/>
      <w:szCs w:val="18"/>
    </w:rPr>
  </w:style>
  <w:style w:type="paragraph" w:styleId="9">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129</Words>
  <Characters>301</Characters>
  <Lines>2</Lines>
  <Paragraphs>1</Paragraphs>
  <TotalTime>0</TotalTime>
  <ScaleCrop>false</ScaleCrop>
  <LinksUpToDate>false</LinksUpToDate>
  <CharactersWithSpaces>308</CharactersWithSpaces>
  <Application>WPS Office_11.8.6.9023_F1E327BC-269C-435d-A152-05C5408002CA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2020-06-04T05:22:00Z</dcterms:created>
  <dc:creator>hongbing liu</dc:creator>
  <cp:lastModifiedBy>Administrator</cp:lastModifiedBy>
  <dcterms:modified xsi:type="dcterms:W3CDTF">2022-05-23T14:59:35Z</dcterms:modified>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2052-11.8.6.9023</vt:lpwstr>
  </property>
  <property fmtid="{D5CDD505-2E9C-101B-9397-08002B2CF9AE}" pid="3" name="ICV">
    <vt:lpwstr>4E2A216151A24EE5A190066F518526B7</vt:lpwstr>
  </property>
</Properties>
</file>